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D281A">
      <w:pPr>
        <w:ind w:right="-315" w:rightChars="-150"/>
        <w:jc w:val="center"/>
        <w:rPr>
          <w:rFonts w:ascii="宋体" w:hAnsi="宋体" w:cs="宋体"/>
          <w:b/>
          <w:bCs/>
          <w:color w:val="auto"/>
          <w:sz w:val="48"/>
          <w:szCs w:val="48"/>
        </w:rPr>
      </w:pPr>
      <w:bookmarkStart w:id="0" w:name="OLE_LINK4"/>
      <w:bookmarkStart w:id="1" w:name="OLE_LINK3"/>
      <w:bookmarkStart w:id="2" w:name="OLE_LINK1"/>
      <w:bookmarkStart w:id="3" w:name="OLE_LINK2"/>
    </w:p>
    <w:p w14:paraId="585DC55E">
      <w:pPr>
        <w:ind w:right="-315" w:rightChars="-150"/>
        <w:jc w:val="center"/>
        <w:rPr>
          <w:rFonts w:ascii="宋体" w:hAnsi="宋体" w:cs="宋体"/>
          <w:b/>
          <w:bCs/>
          <w:color w:val="auto"/>
          <w:sz w:val="48"/>
          <w:szCs w:val="48"/>
        </w:rPr>
      </w:pPr>
    </w:p>
    <w:p w14:paraId="298A0BDD">
      <w:pPr>
        <w:jc w:val="center"/>
        <w:outlineLvl w:val="0"/>
        <w:rPr>
          <w:rFonts w:hint="eastAsia" w:ascii="宋体" w:hAnsi="宋体"/>
          <w:b/>
          <w:color w:val="auto"/>
          <w:sz w:val="96"/>
          <w:szCs w:val="96"/>
        </w:rPr>
      </w:pPr>
      <w:bookmarkStart w:id="4" w:name="_Toc1868"/>
      <w:r>
        <w:rPr>
          <w:rFonts w:hint="eastAsia" w:ascii="宋体" w:hAnsi="宋体" w:cs="宋体"/>
          <w:b/>
          <w:bCs/>
          <w:color w:val="auto"/>
          <w:sz w:val="48"/>
          <w:szCs w:val="48"/>
          <w:lang w:eastAsia="zh-CN"/>
        </w:rPr>
        <w:t>滁州开放大学关于省校建校45周年宣传素材制作项目</w:t>
      </w:r>
      <w:bookmarkEnd w:id="4"/>
    </w:p>
    <w:p w14:paraId="4EB1D5F2">
      <w:pPr>
        <w:jc w:val="center"/>
        <w:rPr>
          <w:rFonts w:hint="eastAsia" w:ascii="宋体" w:hAnsi="宋体"/>
          <w:b/>
          <w:color w:val="auto"/>
          <w:sz w:val="84"/>
          <w:szCs w:val="84"/>
        </w:rPr>
      </w:pPr>
    </w:p>
    <w:p w14:paraId="453B85E2">
      <w:pPr>
        <w:jc w:val="center"/>
        <w:outlineLvl w:val="0"/>
        <w:rPr>
          <w:rFonts w:ascii="宋体" w:hAnsi="宋体"/>
          <w:b/>
          <w:color w:val="auto"/>
          <w:sz w:val="84"/>
          <w:szCs w:val="84"/>
        </w:rPr>
      </w:pPr>
      <w:bookmarkStart w:id="5" w:name="_Toc9847"/>
      <w:r>
        <w:rPr>
          <w:rFonts w:hint="eastAsia" w:ascii="宋体" w:hAnsi="宋体"/>
          <w:b/>
          <w:color w:val="auto"/>
          <w:sz w:val="84"/>
          <w:szCs w:val="84"/>
        </w:rPr>
        <w:t>招</w:t>
      </w:r>
      <w:bookmarkEnd w:id="5"/>
    </w:p>
    <w:p w14:paraId="7FF10D9C">
      <w:pPr>
        <w:jc w:val="center"/>
        <w:outlineLvl w:val="0"/>
        <w:rPr>
          <w:rFonts w:ascii="宋体" w:hAnsi="宋体"/>
          <w:b/>
          <w:color w:val="auto"/>
          <w:sz w:val="84"/>
          <w:szCs w:val="84"/>
        </w:rPr>
      </w:pPr>
      <w:bookmarkStart w:id="6" w:name="_Toc21457"/>
      <w:r>
        <w:rPr>
          <w:rFonts w:hint="eastAsia" w:ascii="宋体" w:hAnsi="宋体"/>
          <w:b/>
          <w:color w:val="auto"/>
          <w:sz w:val="84"/>
          <w:szCs w:val="84"/>
        </w:rPr>
        <w:t>标</w:t>
      </w:r>
      <w:bookmarkEnd w:id="6"/>
    </w:p>
    <w:p w14:paraId="18DF0079">
      <w:pPr>
        <w:jc w:val="center"/>
        <w:outlineLvl w:val="0"/>
        <w:rPr>
          <w:rFonts w:ascii="宋体" w:hAnsi="宋体"/>
          <w:b/>
          <w:color w:val="auto"/>
          <w:sz w:val="84"/>
          <w:szCs w:val="84"/>
        </w:rPr>
      </w:pPr>
      <w:bookmarkStart w:id="7" w:name="_Toc8287"/>
      <w:r>
        <w:rPr>
          <w:rFonts w:hint="eastAsia" w:ascii="宋体" w:hAnsi="宋体"/>
          <w:b/>
          <w:color w:val="auto"/>
          <w:sz w:val="84"/>
          <w:szCs w:val="84"/>
        </w:rPr>
        <w:t>文</w:t>
      </w:r>
      <w:bookmarkEnd w:id="7"/>
    </w:p>
    <w:p w14:paraId="59B4A3B3">
      <w:pPr>
        <w:jc w:val="center"/>
        <w:outlineLvl w:val="0"/>
        <w:rPr>
          <w:rFonts w:ascii="宋体"/>
          <w:color w:val="auto"/>
          <w:sz w:val="28"/>
          <w:szCs w:val="28"/>
        </w:rPr>
      </w:pPr>
      <w:bookmarkStart w:id="8" w:name="_Toc7501"/>
      <w:r>
        <w:rPr>
          <w:rFonts w:hint="eastAsia" w:ascii="宋体" w:hAnsi="宋体"/>
          <w:b/>
          <w:color w:val="auto"/>
          <w:sz w:val="84"/>
          <w:szCs w:val="84"/>
        </w:rPr>
        <w:t>件</w:t>
      </w:r>
      <w:bookmarkEnd w:id="8"/>
    </w:p>
    <w:p w14:paraId="42F2B86B">
      <w:pPr>
        <w:spacing w:line="480" w:lineRule="exact"/>
        <w:rPr>
          <w:rFonts w:ascii="宋体" w:hAnsi="宋体" w:cs="宋体"/>
          <w:b/>
          <w:bCs/>
          <w:color w:val="auto"/>
          <w:sz w:val="32"/>
        </w:rPr>
      </w:pPr>
    </w:p>
    <w:p w14:paraId="01899A7C">
      <w:pPr>
        <w:pStyle w:val="26"/>
        <w:ind w:left="0" w:leftChars="0" w:firstLine="0" w:firstLineChars="0"/>
        <w:rPr>
          <w:rFonts w:ascii="宋体" w:hAnsi="宋体" w:cs="宋体"/>
          <w:b/>
          <w:bCs/>
          <w:color w:val="auto"/>
          <w:sz w:val="32"/>
        </w:rPr>
      </w:pPr>
    </w:p>
    <w:p w14:paraId="7F6EDB12">
      <w:pPr>
        <w:spacing w:line="800" w:lineRule="exact"/>
        <w:ind w:left="1992" w:leftChars="488" w:hanging="967" w:hangingChars="344"/>
        <w:rPr>
          <w:rFonts w:ascii="宋体" w:hAnsi="宋体" w:cs="宋体"/>
          <w:b/>
          <w:bCs/>
          <w:color w:val="auto"/>
          <w:sz w:val="28"/>
          <w:szCs w:val="28"/>
          <w:u w:val="single"/>
        </w:rPr>
      </w:pPr>
      <w:r>
        <w:rPr>
          <w:rFonts w:hint="eastAsia" w:ascii="宋体" w:hAnsi="宋体" w:cs="宋体"/>
          <w:b/>
          <w:bCs/>
          <w:color w:val="auto"/>
          <w:sz w:val="28"/>
          <w:szCs w:val="28"/>
        </w:rPr>
        <w:t>采 购  人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滁州开放大学          （盖章）</w:t>
      </w:r>
    </w:p>
    <w:p w14:paraId="612A4C50">
      <w:pPr>
        <w:spacing w:line="1000" w:lineRule="exact"/>
        <w:ind w:right="-153" w:rightChars="-73" w:firstLine="852" w:firstLineChars="303"/>
        <w:jc w:val="left"/>
        <w:outlineLvl w:val="0"/>
        <w:rPr>
          <w:rFonts w:ascii="宋体" w:hAnsi="宋体" w:cs="宋体"/>
          <w:b/>
          <w:color w:val="auto"/>
          <w:sz w:val="28"/>
          <w:szCs w:val="28"/>
          <w:u w:val="single"/>
        </w:rPr>
      </w:pPr>
      <w:r>
        <w:rPr>
          <w:rFonts w:hint="eastAsia" w:ascii="宋体" w:hAnsi="宋体" w:cs="宋体"/>
          <w:b/>
          <w:bCs/>
          <w:color w:val="auto"/>
          <w:sz w:val="28"/>
          <w:szCs w:val="28"/>
        </w:rPr>
        <w:t xml:space="preserve"> </w:t>
      </w:r>
      <w:bookmarkStart w:id="9" w:name="_Toc7532"/>
      <w:r>
        <w:rPr>
          <w:rFonts w:hint="eastAsia" w:ascii="宋体" w:hAnsi="宋体" w:cs="宋体"/>
          <w:b/>
          <w:bCs/>
          <w:color w:val="auto"/>
          <w:spacing w:val="-20"/>
          <w:sz w:val="28"/>
          <w:szCs w:val="28"/>
        </w:rPr>
        <w:t>采购代理机构</w:t>
      </w:r>
      <w:r>
        <w:rPr>
          <w:rFonts w:hint="eastAsia" w:ascii="宋体" w:hAnsi="宋体" w:cs="宋体"/>
          <w:b/>
          <w:bCs/>
          <w:color w:val="auto"/>
          <w:sz w:val="28"/>
          <w:szCs w:val="28"/>
        </w:rPr>
        <w:t>：</w:t>
      </w:r>
      <w:r>
        <w:rPr>
          <w:rFonts w:hint="eastAsia" w:ascii="宋体" w:hAnsi="宋体" w:cs="宋体"/>
          <w:b/>
          <w:bCs/>
          <w:color w:val="auto"/>
          <w:sz w:val="28"/>
          <w:szCs w:val="28"/>
          <w:u w:val="single"/>
        </w:rPr>
        <w:t xml:space="preserve">    </w:t>
      </w:r>
      <w:r>
        <w:rPr>
          <w:rFonts w:hint="eastAsia" w:ascii="宋体" w:hAnsi="宋体" w:cs="宋体"/>
          <w:b/>
          <w:color w:val="auto"/>
          <w:sz w:val="28"/>
          <w:szCs w:val="28"/>
          <w:u w:val="single"/>
        </w:rPr>
        <w:t>安徽广宇项目管理有限公司     （盖章）</w:t>
      </w:r>
      <w:bookmarkEnd w:id="9"/>
    </w:p>
    <w:p w14:paraId="466992D2">
      <w:pPr>
        <w:pStyle w:val="21"/>
        <w:ind w:firstLine="0" w:firstLineChars="0"/>
        <w:rPr>
          <w:color w:val="auto"/>
        </w:rPr>
      </w:pPr>
    </w:p>
    <w:p w14:paraId="013551F3">
      <w:pPr>
        <w:spacing w:line="560" w:lineRule="exact"/>
        <w:ind w:right="2" w:rightChars="1" w:firstLine="316" w:firstLineChars="131"/>
        <w:rPr>
          <w:rFonts w:ascii="宋体" w:hAnsi="宋体" w:cs="宋体"/>
          <w:b/>
          <w:color w:val="auto"/>
          <w:spacing w:val="20"/>
          <w:sz w:val="32"/>
          <w:szCs w:val="32"/>
          <w:u w:val="single"/>
        </w:rPr>
      </w:pPr>
      <w:r>
        <w:rPr>
          <w:rFonts w:hint="eastAsia" w:ascii="宋体" w:hAnsi="宋体" w:cs="宋体"/>
          <w:b/>
          <w:bCs/>
          <w:color w:val="auto"/>
          <w:spacing w:val="-20"/>
          <w:sz w:val="28"/>
          <w:szCs w:val="28"/>
        </w:rPr>
        <w:t xml:space="preserve">       发 布 日 期：</w:t>
      </w:r>
      <w:r>
        <w:rPr>
          <w:rFonts w:hint="eastAsia" w:ascii="宋体" w:hAnsi="宋体" w:cs="宋体"/>
          <w:b/>
          <w:bCs/>
          <w:color w:val="auto"/>
          <w:sz w:val="28"/>
          <w:szCs w:val="28"/>
          <w:u w:val="single"/>
        </w:rPr>
        <w:t xml:space="preserve"> </w:t>
      </w:r>
      <w:r>
        <w:rPr>
          <w:rFonts w:hint="eastAsia" w:ascii="宋体" w:hAnsi="宋体" w:cs="宋体"/>
          <w:b/>
          <w:color w:val="auto"/>
          <w:sz w:val="28"/>
          <w:szCs w:val="28"/>
          <w:u w:val="single"/>
        </w:rPr>
        <w:t xml:space="preserve">         2024年</w:t>
      </w:r>
      <w:r>
        <w:rPr>
          <w:rFonts w:hint="eastAsia" w:ascii="宋体" w:hAnsi="宋体" w:cs="宋体"/>
          <w:b/>
          <w:color w:val="auto"/>
          <w:sz w:val="28"/>
          <w:szCs w:val="28"/>
          <w:u w:val="single"/>
          <w:lang w:val="en-US" w:eastAsia="zh-CN"/>
        </w:rPr>
        <w:t>9</w:t>
      </w:r>
      <w:r>
        <w:rPr>
          <w:rFonts w:hint="eastAsia" w:ascii="宋体" w:hAnsi="宋体" w:cs="宋体"/>
          <w:b/>
          <w:color w:val="auto"/>
          <w:sz w:val="28"/>
          <w:szCs w:val="28"/>
          <w:u w:val="single"/>
        </w:rPr>
        <w:t xml:space="preserve">月               </w:t>
      </w:r>
      <w:r>
        <w:rPr>
          <w:rFonts w:hint="eastAsia" w:ascii="宋体" w:hAnsi="宋体" w:cs="宋体"/>
          <w:b/>
          <w:bCs/>
          <w:color w:val="auto"/>
          <w:spacing w:val="-20"/>
          <w:sz w:val="32"/>
          <w:u w:val="single"/>
        </w:rPr>
        <w:t xml:space="preserve">    </w:t>
      </w:r>
    </w:p>
    <w:p w14:paraId="449B6A28">
      <w:pPr>
        <w:adjustRightInd w:val="0"/>
        <w:snapToGrid w:val="0"/>
        <w:spacing w:line="460" w:lineRule="exact"/>
        <w:rPr>
          <w:rFonts w:ascii="宋体" w:hAnsi="宋体" w:cs="宋体"/>
          <w:b/>
          <w:color w:val="auto"/>
          <w:spacing w:val="20"/>
          <w:sz w:val="32"/>
          <w:szCs w:val="32"/>
        </w:rPr>
      </w:pPr>
    </w:p>
    <w:p w14:paraId="1B7D55BB">
      <w:pPr>
        <w:adjustRightInd w:val="0"/>
        <w:snapToGrid w:val="0"/>
        <w:spacing w:line="460" w:lineRule="exact"/>
        <w:jc w:val="center"/>
        <w:rPr>
          <w:rFonts w:ascii="宋体" w:hAnsi="宋体" w:cs="宋体"/>
          <w:b/>
          <w:color w:val="auto"/>
          <w:spacing w:val="20"/>
          <w:sz w:val="32"/>
          <w:szCs w:val="32"/>
        </w:rPr>
      </w:pPr>
    </w:p>
    <w:p w14:paraId="495AE3E1">
      <w:pPr>
        <w:adjustRightInd w:val="0"/>
        <w:snapToGrid w:val="0"/>
        <w:spacing w:line="460" w:lineRule="exact"/>
        <w:jc w:val="center"/>
        <w:rPr>
          <w:rFonts w:ascii="宋体" w:hAnsi="宋体" w:cs="宋体"/>
          <w:b/>
          <w:color w:val="auto"/>
          <w:spacing w:val="20"/>
          <w:sz w:val="32"/>
          <w:szCs w:val="32"/>
        </w:rPr>
      </w:pPr>
    </w:p>
    <w:p w14:paraId="0A394776">
      <w:pPr>
        <w:pStyle w:val="4"/>
        <w:outlineLvl w:val="9"/>
        <w:rPr>
          <w:color w:val="auto"/>
        </w:rPr>
        <w:sectPr>
          <w:footerReference r:id="rId5" w:type="first"/>
          <w:headerReference r:id="rId3" w:type="default"/>
          <w:footerReference r:id="rId4" w:type="default"/>
          <w:pgSz w:w="11906" w:h="16838"/>
          <w:pgMar w:top="794" w:right="1361" w:bottom="680" w:left="1361" w:header="567" w:footer="567" w:gutter="0"/>
          <w:pgNumType w:start="1"/>
          <w:cols w:space="720" w:num="1"/>
          <w:titlePg/>
          <w:docGrid w:type="lines" w:linePitch="312" w:charSpace="0"/>
        </w:sectPr>
      </w:pPr>
    </w:p>
    <w:p w14:paraId="4F3F2170"/>
    <w:p w14:paraId="01E595FC">
      <w:pPr>
        <w:pStyle w:val="21"/>
        <w:ind w:firstLine="0" w:firstLineChars="0"/>
        <w:rPr>
          <w:rFonts w:hint="eastAsia" w:ascii="宋体" w:hAnsi="宋体" w:eastAsia="宋体" w:cs="宋体"/>
          <w:color w:val="auto"/>
          <w:sz w:val="44"/>
          <w:szCs w:val="28"/>
        </w:rPr>
      </w:pPr>
    </w:p>
    <w:sdt>
      <w:sdtPr>
        <w:rPr>
          <w:rFonts w:hint="eastAsia" w:ascii="宋体" w:hAnsi="宋体" w:eastAsia="宋体" w:cs="宋体"/>
          <w:kern w:val="2"/>
          <w:sz w:val="32"/>
          <w:szCs w:val="40"/>
          <w:lang w:val="en-US" w:eastAsia="zh-CN" w:bidi="ar-SA"/>
        </w:rPr>
        <w:id w:val="147456006"/>
        <w15:color w:val="DBDBDB"/>
        <w:docPartObj>
          <w:docPartGallery w:val="Table of Contents"/>
          <w:docPartUnique/>
        </w:docPartObj>
      </w:sdtPr>
      <w:sdtEndPr>
        <w:rPr>
          <w:rFonts w:hint="eastAsia" w:ascii="宋体" w:hAnsi="宋体" w:eastAsia="宋体" w:cs="宋体"/>
          <w:color w:val="auto"/>
          <w:kern w:val="2"/>
          <w:sz w:val="32"/>
          <w:szCs w:val="40"/>
          <w:lang w:val="en-US" w:eastAsia="zh-CN" w:bidi="ar-SA"/>
        </w:rPr>
      </w:sdtEndPr>
      <w:sdtContent>
        <w:p w14:paraId="11B699CA">
          <w:pPr>
            <w:spacing w:before="0" w:beforeLines="0" w:after="0" w:afterLines="0" w:line="240" w:lineRule="auto"/>
            <w:ind w:left="0" w:leftChars="0" w:right="0" w:rightChars="0" w:firstLine="0" w:firstLineChars="0"/>
            <w:jc w:val="center"/>
            <w:rPr>
              <w:rFonts w:hint="eastAsia" w:ascii="宋体" w:hAnsi="宋体" w:eastAsia="宋体" w:cs="宋体"/>
              <w:sz w:val="32"/>
              <w:szCs w:val="40"/>
            </w:rPr>
          </w:pPr>
          <w:r>
            <w:rPr>
              <w:rFonts w:hint="eastAsia" w:ascii="宋体" w:hAnsi="宋体" w:eastAsia="宋体" w:cs="宋体"/>
              <w:sz w:val="32"/>
              <w:szCs w:val="40"/>
            </w:rPr>
            <w:t>目录</w:t>
          </w:r>
        </w:p>
        <w:p w14:paraId="5F7378C7">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40"/>
              <w:szCs w:val="28"/>
            </w:rPr>
            <w:fldChar w:fldCharType="begin"/>
          </w:r>
          <w:r>
            <w:rPr>
              <w:rFonts w:hint="eastAsia" w:ascii="宋体" w:hAnsi="宋体" w:eastAsia="宋体" w:cs="宋体"/>
              <w:color w:val="auto"/>
              <w:sz w:val="40"/>
              <w:szCs w:val="28"/>
            </w:rPr>
            <w:instrText xml:space="preserve">TOC \o "1-1" \h \u </w:instrText>
          </w:r>
          <w:r>
            <w:rPr>
              <w:rFonts w:hint="eastAsia" w:ascii="宋体" w:hAnsi="宋体" w:eastAsia="宋体" w:cs="宋体"/>
              <w:color w:val="auto"/>
              <w:sz w:val="40"/>
              <w:szCs w:val="28"/>
            </w:rPr>
            <w:fldChar w:fldCharType="separate"/>
          </w:r>
        </w:p>
        <w:p w14:paraId="66DEB68E">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_Toc7239 </w:instrText>
          </w:r>
          <w:r>
            <w:rPr>
              <w:rFonts w:hint="eastAsia" w:ascii="宋体" w:hAnsi="宋体" w:eastAsia="宋体" w:cs="宋体"/>
              <w:sz w:val="28"/>
              <w:szCs w:val="28"/>
            </w:rPr>
            <w:fldChar w:fldCharType="separate"/>
          </w:r>
          <w:r>
            <w:rPr>
              <w:rFonts w:hint="eastAsia" w:ascii="宋体" w:hAnsi="宋体" w:eastAsia="宋体" w:cs="宋体"/>
              <w:sz w:val="28"/>
              <w:szCs w:val="48"/>
              <w:lang w:val="en-US" w:eastAsia="zh-CN"/>
            </w:rPr>
            <w:t xml:space="preserve">第一章  </w:t>
          </w:r>
          <w:r>
            <w:rPr>
              <w:rFonts w:hint="eastAsia" w:ascii="宋体" w:hAnsi="宋体" w:eastAsia="宋体" w:cs="宋体"/>
              <w:sz w:val="28"/>
              <w:szCs w:val="48"/>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_Toc7239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0D58FD4">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_Toc13889 </w:instrText>
          </w:r>
          <w:r>
            <w:rPr>
              <w:rFonts w:hint="eastAsia" w:ascii="宋体" w:hAnsi="宋体" w:eastAsia="宋体" w:cs="宋体"/>
              <w:sz w:val="28"/>
              <w:szCs w:val="28"/>
            </w:rPr>
            <w:fldChar w:fldCharType="separate"/>
          </w:r>
          <w:r>
            <w:rPr>
              <w:rFonts w:hint="eastAsia" w:ascii="宋体" w:hAnsi="宋体" w:eastAsia="宋体" w:cs="宋体"/>
              <w:sz w:val="28"/>
              <w:szCs w:val="48"/>
              <w:highlight w:val="none"/>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_Toc13889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3008A9F">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_Toc10275 </w:instrText>
          </w:r>
          <w:r>
            <w:rPr>
              <w:rFonts w:hint="eastAsia" w:ascii="宋体" w:hAnsi="宋体" w:eastAsia="宋体" w:cs="宋体"/>
              <w:sz w:val="28"/>
              <w:szCs w:val="28"/>
            </w:rPr>
            <w:fldChar w:fldCharType="separate"/>
          </w:r>
          <w:r>
            <w:rPr>
              <w:rFonts w:hint="eastAsia" w:ascii="宋体" w:hAnsi="宋体" w:eastAsia="宋体" w:cs="宋体"/>
              <w:bCs/>
              <w:sz w:val="28"/>
              <w:szCs w:val="48"/>
            </w:rPr>
            <w:t>第三章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_Toc10275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BDA6FBF">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_Toc18616 </w:instrText>
          </w:r>
          <w:r>
            <w:rPr>
              <w:rFonts w:hint="eastAsia" w:ascii="宋体" w:hAnsi="宋体" w:eastAsia="宋体" w:cs="宋体"/>
              <w:sz w:val="28"/>
              <w:szCs w:val="28"/>
            </w:rPr>
            <w:fldChar w:fldCharType="separate"/>
          </w:r>
          <w:r>
            <w:rPr>
              <w:rFonts w:hint="eastAsia" w:ascii="宋体" w:hAnsi="宋体" w:eastAsia="宋体" w:cs="宋体"/>
              <w:kern w:val="2"/>
              <w:sz w:val="28"/>
              <w:szCs w:val="60"/>
              <w:lang w:val="en-US" w:eastAsia="zh-CN" w:bidi="ar-SA"/>
            </w:rPr>
            <w:t>第四章 采购需求及服务要求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_Toc18616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D8EBF07">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_Toc16939 </w:instrText>
          </w:r>
          <w:r>
            <w:rPr>
              <w:rFonts w:hint="eastAsia" w:ascii="宋体" w:hAnsi="宋体" w:eastAsia="宋体" w:cs="宋体"/>
              <w:sz w:val="28"/>
              <w:szCs w:val="28"/>
            </w:rPr>
            <w:fldChar w:fldCharType="separate"/>
          </w:r>
          <w:r>
            <w:rPr>
              <w:rFonts w:hint="eastAsia" w:ascii="宋体" w:hAnsi="宋体" w:eastAsia="宋体" w:cs="宋体"/>
              <w:sz w:val="28"/>
              <w:szCs w:val="60"/>
            </w:rPr>
            <w:t>第五章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_Toc16939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4FC16BEE">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_Toc28777 </w:instrText>
          </w:r>
          <w:r>
            <w:rPr>
              <w:rFonts w:hint="eastAsia" w:ascii="宋体" w:hAnsi="宋体" w:eastAsia="宋体" w:cs="宋体"/>
              <w:sz w:val="28"/>
              <w:szCs w:val="28"/>
            </w:rPr>
            <w:fldChar w:fldCharType="separate"/>
          </w:r>
          <w:r>
            <w:rPr>
              <w:rFonts w:hint="eastAsia" w:ascii="宋体" w:hAnsi="宋体" w:eastAsia="宋体" w:cs="宋体"/>
              <w:sz w:val="28"/>
              <w:szCs w:val="48"/>
            </w:rPr>
            <w:t>第六章  投标文件标格式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_Toc28777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38787B3">
          <w:pPr>
            <w:pStyle w:val="45"/>
            <w:tabs>
              <w:tab w:val="right" w:leader="dot" w:pos="9184"/>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_Toc6794 </w:instrText>
          </w:r>
          <w:r>
            <w:rPr>
              <w:rFonts w:hint="eastAsia" w:ascii="宋体" w:hAnsi="宋体" w:eastAsia="宋体" w:cs="宋体"/>
              <w:sz w:val="28"/>
              <w:szCs w:val="28"/>
            </w:rPr>
            <w:fldChar w:fldCharType="separate"/>
          </w:r>
          <w:r>
            <w:rPr>
              <w:rFonts w:hint="eastAsia" w:ascii="宋体" w:hAnsi="宋体" w:eastAsia="宋体" w:cs="宋体"/>
              <w:sz w:val="28"/>
              <w:szCs w:val="48"/>
            </w:rPr>
            <w:t>第七章 采购单位、采购代理机构对本招标文件的确认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_Toc6794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0E8139B">
          <w:pPr>
            <w:rPr>
              <w:rFonts w:hint="eastAsia" w:ascii="宋体" w:hAnsi="宋体" w:eastAsia="宋体" w:cs="宋体"/>
              <w:color w:val="auto"/>
              <w:kern w:val="2"/>
              <w:sz w:val="32"/>
              <w:szCs w:val="40"/>
              <w:lang w:val="en-US" w:eastAsia="zh-CN" w:bidi="ar-SA"/>
            </w:rPr>
          </w:pPr>
          <w:r>
            <w:rPr>
              <w:rFonts w:hint="eastAsia" w:ascii="宋体" w:hAnsi="宋体" w:eastAsia="宋体" w:cs="宋体"/>
              <w:color w:val="auto"/>
              <w:sz w:val="32"/>
              <w:szCs w:val="40"/>
            </w:rPr>
            <w:fldChar w:fldCharType="end"/>
          </w:r>
        </w:p>
      </w:sdtContent>
    </w:sdt>
    <w:p w14:paraId="227D824E">
      <w:pPr>
        <w:rPr>
          <w:rFonts w:hint="eastAsia" w:ascii="宋体" w:hAnsi="宋体" w:eastAsia="宋体" w:cs="宋体"/>
          <w:color w:val="auto"/>
          <w:kern w:val="2"/>
          <w:sz w:val="32"/>
          <w:szCs w:val="40"/>
          <w:lang w:val="en-US" w:eastAsia="zh-CN" w:bidi="ar-SA"/>
        </w:rPr>
      </w:pPr>
    </w:p>
    <w:p w14:paraId="784ABB9E">
      <w:pPr>
        <w:rPr>
          <w:rFonts w:ascii="宋体" w:hAnsi="宋体" w:cs="宋体"/>
          <w:b/>
          <w:color w:val="auto"/>
          <w:sz w:val="32"/>
        </w:rPr>
      </w:pPr>
    </w:p>
    <w:p w14:paraId="2E270E92">
      <w:pPr>
        <w:rPr>
          <w:rFonts w:ascii="宋体" w:hAnsi="宋体" w:cs="宋体"/>
          <w:b/>
          <w:color w:val="auto"/>
          <w:sz w:val="32"/>
        </w:rPr>
      </w:pPr>
    </w:p>
    <w:p w14:paraId="1026EB09">
      <w:pPr>
        <w:rPr>
          <w:rFonts w:ascii="宋体" w:hAnsi="宋体" w:cs="宋体"/>
          <w:b/>
          <w:color w:val="auto"/>
          <w:sz w:val="32"/>
        </w:rPr>
      </w:pPr>
    </w:p>
    <w:p w14:paraId="4E1D6D6C">
      <w:pPr>
        <w:rPr>
          <w:rFonts w:ascii="宋体" w:hAnsi="宋体" w:cs="宋体"/>
          <w:b/>
          <w:color w:val="auto"/>
          <w:sz w:val="32"/>
        </w:rPr>
      </w:pPr>
    </w:p>
    <w:p w14:paraId="1F1A7734">
      <w:pPr>
        <w:tabs>
          <w:tab w:val="left" w:pos="1085"/>
        </w:tabs>
        <w:rPr>
          <w:rFonts w:hint="eastAsia" w:ascii="宋体" w:hAnsi="宋体" w:eastAsia="宋体" w:cs="宋体"/>
          <w:b/>
          <w:color w:val="auto"/>
          <w:sz w:val="32"/>
          <w:lang w:eastAsia="zh-CN"/>
        </w:rPr>
      </w:pPr>
      <w:r>
        <w:rPr>
          <w:rFonts w:hint="eastAsia" w:ascii="宋体" w:hAnsi="宋体" w:cs="宋体"/>
          <w:b/>
          <w:color w:val="auto"/>
          <w:sz w:val="32"/>
          <w:lang w:eastAsia="zh-CN"/>
        </w:rPr>
        <w:tab/>
      </w:r>
    </w:p>
    <w:p w14:paraId="099D3F54">
      <w:pPr>
        <w:rPr>
          <w:rFonts w:ascii="宋体" w:hAnsi="宋体" w:cs="宋体"/>
          <w:b/>
          <w:color w:val="auto"/>
          <w:sz w:val="32"/>
        </w:rPr>
      </w:pPr>
    </w:p>
    <w:p w14:paraId="442C4DA6">
      <w:pPr>
        <w:rPr>
          <w:rFonts w:ascii="宋体" w:hAnsi="宋体" w:cs="宋体"/>
          <w:b/>
          <w:color w:val="auto"/>
          <w:sz w:val="32"/>
        </w:rPr>
        <w:sectPr>
          <w:footerReference r:id="rId7" w:type="first"/>
          <w:footerReference r:id="rId6" w:type="default"/>
          <w:pgSz w:w="11906" w:h="16838"/>
          <w:pgMar w:top="794" w:right="1361" w:bottom="680" w:left="1361" w:header="567" w:footer="567" w:gutter="0"/>
          <w:pgNumType w:start="1"/>
          <w:cols w:space="720" w:num="1"/>
          <w:titlePg/>
          <w:docGrid w:type="lines" w:linePitch="312" w:charSpace="0"/>
        </w:sectPr>
      </w:pPr>
    </w:p>
    <w:p w14:paraId="2B1F0C7D">
      <w:pPr>
        <w:pStyle w:val="3"/>
        <w:keepLines w:val="0"/>
        <w:spacing w:before="162" w:beforeLines="50" w:after="162" w:afterLines="50" w:line="440" w:lineRule="exact"/>
        <w:jc w:val="center"/>
        <w:rPr>
          <w:rFonts w:ascii="宋体" w:hAnsi="宋体" w:cs="宋体"/>
          <w:color w:val="auto"/>
          <w:sz w:val="32"/>
          <w:szCs w:val="32"/>
        </w:rPr>
      </w:pPr>
      <w:bookmarkStart w:id="10" w:name="_Toc7239"/>
      <w:r>
        <w:rPr>
          <w:rFonts w:hint="eastAsia" w:ascii="宋体" w:hAnsi="宋体" w:cs="宋体"/>
          <w:color w:val="auto"/>
          <w:sz w:val="32"/>
          <w:szCs w:val="32"/>
          <w:lang w:val="en-US" w:eastAsia="zh-CN"/>
        </w:rPr>
        <w:t xml:space="preserve">第一章  </w:t>
      </w:r>
      <w:r>
        <w:rPr>
          <w:rFonts w:hint="eastAsia" w:ascii="宋体" w:hAnsi="宋体" w:cs="宋体"/>
          <w:color w:val="auto"/>
          <w:sz w:val="32"/>
          <w:szCs w:val="32"/>
        </w:rPr>
        <w:t>招标公告</w:t>
      </w:r>
      <w:bookmarkEnd w:id="10"/>
    </w:p>
    <w:p w14:paraId="6365396A">
      <w:pPr>
        <w:spacing w:line="440" w:lineRule="exact"/>
        <w:ind w:firstLine="210" w:firstLineChars="100"/>
        <w:rPr>
          <w:color w:val="auto"/>
        </w:rPr>
      </w:pPr>
      <w:r>
        <w:rPr>
          <w:rFonts w:hint="eastAsia" w:ascii="宋体" w:hAnsi="宋体" w:cs="宋体"/>
          <w:color w:val="auto"/>
          <w:szCs w:val="21"/>
          <w:u w:val="single"/>
          <w:lang w:eastAsia="zh-CN"/>
        </w:rPr>
        <w:t>滁州开放大学关于省校建校45周年宣传素材制作项目</w:t>
      </w:r>
      <w:r>
        <w:rPr>
          <w:rFonts w:hint="eastAsia" w:ascii="宋体" w:hAnsi="宋体" w:cs="宋体"/>
          <w:color w:val="auto"/>
          <w:szCs w:val="21"/>
        </w:rPr>
        <w:t>的潜在供应商应在</w:t>
      </w:r>
      <w:r>
        <w:rPr>
          <w:rFonts w:hint="eastAsia" w:ascii="宋体" w:hAnsi="宋体" w:cs="宋体"/>
          <w:color w:val="auto"/>
          <w:kern w:val="0"/>
          <w:szCs w:val="21"/>
          <w:u w:val="single"/>
        </w:rPr>
        <w:t>滁州开放大学（http://www.czou.ah.cn/）</w:t>
      </w:r>
      <w:r>
        <w:rPr>
          <w:rFonts w:hint="eastAsia" w:ascii="宋体" w:hAnsi="宋体" w:cs="宋体"/>
          <w:color w:val="auto"/>
          <w:kern w:val="0"/>
          <w:szCs w:val="21"/>
        </w:rPr>
        <w:t>网站公告栏自行下载</w:t>
      </w:r>
      <w:r>
        <w:rPr>
          <w:rFonts w:hint="eastAsia" w:ascii="宋体" w:hAnsi="宋体" w:cs="宋体"/>
          <w:color w:val="auto"/>
        </w:rPr>
        <w:t>。</w:t>
      </w:r>
      <w:r>
        <w:rPr>
          <w:rFonts w:hint="eastAsia" w:ascii="宋体" w:hAnsi="宋体" w:cs="宋体"/>
          <w:color w:val="auto"/>
          <w:szCs w:val="21"/>
        </w:rPr>
        <w:t>并于</w:t>
      </w:r>
      <w:r>
        <w:rPr>
          <w:rFonts w:hint="eastAsia" w:ascii="宋体" w:hAnsi="宋体" w:cs="宋体"/>
          <w:b/>
          <w:bCs/>
          <w:color w:val="auto"/>
          <w:szCs w:val="21"/>
          <w:u w:val="single"/>
        </w:rPr>
        <w:t>2024年</w:t>
      </w:r>
      <w:r>
        <w:rPr>
          <w:rFonts w:hint="eastAsia" w:ascii="宋体" w:hAnsi="宋体" w:cs="宋体"/>
          <w:b/>
          <w:bCs/>
          <w:color w:val="auto"/>
          <w:szCs w:val="21"/>
          <w:u w:val="single"/>
          <w:lang w:val="en-US" w:eastAsia="zh-CN"/>
        </w:rPr>
        <w:t>9</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26</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9</w:t>
      </w:r>
      <w:r>
        <w:rPr>
          <w:rFonts w:hint="eastAsia" w:ascii="宋体" w:hAnsi="宋体" w:cs="宋体"/>
          <w:b/>
          <w:bCs/>
          <w:color w:val="auto"/>
          <w:szCs w:val="21"/>
          <w:u w:val="single"/>
        </w:rPr>
        <w:t>时00分</w:t>
      </w:r>
      <w:r>
        <w:rPr>
          <w:rFonts w:hint="eastAsia" w:ascii="宋体" w:hAnsi="宋体" w:cs="宋体"/>
          <w:color w:val="auto"/>
          <w:szCs w:val="21"/>
        </w:rPr>
        <w:t>（北京时间）前递交投标文件。</w:t>
      </w:r>
    </w:p>
    <w:p w14:paraId="42E4C755">
      <w:pPr>
        <w:pStyle w:val="12"/>
        <w:spacing w:line="440" w:lineRule="exact"/>
        <w:ind w:left="420" w:leftChars="200"/>
        <w:jc w:val="left"/>
        <w:rPr>
          <w:rFonts w:hint="eastAsia" w:ascii="黑体" w:hAnsi="黑体" w:cs="黑体"/>
          <w:b/>
          <w:color w:val="auto"/>
          <w:kern w:val="0"/>
          <w:szCs w:val="21"/>
        </w:rPr>
      </w:pPr>
      <w:bookmarkStart w:id="11" w:name="_Toc35393621"/>
      <w:bookmarkStart w:id="12" w:name="_Toc28359079"/>
      <w:bookmarkStart w:id="13" w:name="_Toc5872"/>
      <w:bookmarkStart w:id="14" w:name="_Toc28359002"/>
      <w:bookmarkStart w:id="15" w:name="_Toc35393790"/>
      <w:bookmarkStart w:id="16" w:name="_Hlk24379207"/>
      <w:r>
        <w:rPr>
          <w:rFonts w:hint="eastAsia" w:ascii="黑体" w:hAnsi="黑体" w:cs="黑体"/>
          <w:b/>
          <w:color w:val="auto"/>
          <w:kern w:val="0"/>
          <w:szCs w:val="21"/>
        </w:rPr>
        <w:t>一、项目基本情况</w:t>
      </w:r>
      <w:bookmarkEnd w:id="11"/>
      <w:bookmarkEnd w:id="12"/>
      <w:bookmarkEnd w:id="13"/>
      <w:bookmarkEnd w:id="14"/>
      <w:bookmarkEnd w:id="15"/>
    </w:p>
    <w:p w14:paraId="476A108D">
      <w:pPr>
        <w:shd w:val="clear" w:color="auto" w:fill="FFFFFF"/>
        <w:spacing w:line="440" w:lineRule="exact"/>
        <w:ind w:firstLine="420" w:firstLineChars="200"/>
        <w:rPr>
          <w:rFonts w:hint="eastAsia" w:ascii="宋体" w:hAnsi="宋体" w:cs="宋体"/>
          <w:color w:val="auto"/>
          <w:szCs w:val="21"/>
          <w:lang w:eastAsia="zh-CN"/>
        </w:rPr>
      </w:pPr>
      <w:r>
        <w:rPr>
          <w:rFonts w:hint="eastAsia" w:ascii="宋体" w:hAnsi="宋体" w:cs="宋体"/>
          <w:color w:val="auto"/>
          <w:szCs w:val="21"/>
        </w:rPr>
        <w:t>项目名称：</w:t>
      </w:r>
      <w:bookmarkEnd w:id="16"/>
      <w:r>
        <w:rPr>
          <w:rFonts w:hint="eastAsia" w:ascii="宋体" w:hAnsi="宋体" w:cs="宋体"/>
          <w:color w:val="auto"/>
          <w:szCs w:val="21"/>
          <w:lang w:eastAsia="zh-CN"/>
        </w:rPr>
        <w:t>滁州开放大学关于省校建校45周年宣传素材制作项目</w:t>
      </w:r>
    </w:p>
    <w:p w14:paraId="1E22B656">
      <w:pPr>
        <w:shd w:val="clear" w:color="auto" w:fill="FFFFFF"/>
        <w:spacing w:line="440" w:lineRule="exact"/>
        <w:ind w:firstLine="420" w:firstLineChars="200"/>
        <w:rPr>
          <w:rFonts w:ascii="宋体" w:cs="宋体"/>
          <w:color w:val="auto"/>
          <w:szCs w:val="21"/>
        </w:rPr>
      </w:pPr>
      <w:r>
        <w:rPr>
          <w:rFonts w:hint="eastAsia" w:ascii="宋体" w:cs="宋体"/>
          <w:color w:val="auto"/>
          <w:szCs w:val="21"/>
        </w:rPr>
        <w:t>预算：</w:t>
      </w:r>
      <w:r>
        <w:rPr>
          <w:rFonts w:hint="eastAsia" w:ascii="宋体" w:cs="宋体"/>
          <w:color w:val="auto"/>
          <w:szCs w:val="21"/>
          <w:lang w:val="en-US" w:eastAsia="zh-CN"/>
        </w:rPr>
        <w:t>5.0万</w:t>
      </w:r>
      <w:r>
        <w:rPr>
          <w:rFonts w:hint="eastAsia" w:ascii="宋体" w:cs="宋体"/>
          <w:color w:val="auto"/>
          <w:szCs w:val="21"/>
        </w:rPr>
        <w:t>元</w:t>
      </w:r>
    </w:p>
    <w:p w14:paraId="0FAC56CF">
      <w:pPr>
        <w:spacing w:line="440" w:lineRule="exact"/>
        <w:ind w:firstLine="420" w:firstLineChars="200"/>
        <w:jc w:val="left"/>
        <w:rPr>
          <w:rFonts w:ascii="宋体" w:cs="宋体"/>
          <w:color w:val="auto"/>
          <w:szCs w:val="21"/>
        </w:rPr>
      </w:pPr>
      <w:r>
        <w:rPr>
          <w:rFonts w:hint="eastAsia" w:ascii="宋体" w:cs="宋体"/>
          <w:color w:val="auto"/>
          <w:szCs w:val="21"/>
        </w:rPr>
        <w:t>最高限价：</w:t>
      </w:r>
      <w:r>
        <w:rPr>
          <w:rFonts w:hint="eastAsia" w:ascii="宋体" w:cs="宋体"/>
          <w:color w:val="auto"/>
          <w:szCs w:val="21"/>
          <w:lang w:val="en-US" w:eastAsia="zh-CN"/>
        </w:rPr>
        <w:t>伍万元</w:t>
      </w:r>
      <w:r>
        <w:rPr>
          <w:rFonts w:hint="eastAsia" w:ascii="宋体" w:cs="宋体"/>
          <w:color w:val="auto"/>
          <w:szCs w:val="21"/>
          <w:lang w:eastAsia="zh-CN"/>
        </w:rPr>
        <w:t>整</w:t>
      </w:r>
      <w:r>
        <w:rPr>
          <w:rFonts w:hint="eastAsia" w:ascii="宋体" w:cs="宋体"/>
          <w:color w:val="auto"/>
          <w:szCs w:val="21"/>
        </w:rPr>
        <w:t>（</w:t>
      </w:r>
      <w:r>
        <w:rPr>
          <w:rFonts w:hint="eastAsia" w:ascii="宋体" w:cs="宋体"/>
          <w:color w:val="auto"/>
          <w:szCs w:val="21"/>
          <w:lang w:val="en-US" w:eastAsia="zh-CN"/>
        </w:rPr>
        <w:t>50000.00</w:t>
      </w:r>
      <w:r>
        <w:rPr>
          <w:rFonts w:hint="eastAsia" w:ascii="宋体" w:cs="宋体"/>
          <w:color w:val="auto"/>
          <w:szCs w:val="21"/>
        </w:rPr>
        <w:t>元），</w:t>
      </w:r>
      <w:r>
        <w:rPr>
          <w:rFonts w:hint="eastAsia" w:ascii="宋体" w:hAnsi="宋体" w:cs="宋体"/>
          <w:color w:val="auto"/>
          <w:szCs w:val="21"/>
        </w:rPr>
        <w:t>投标人报价不得高于最高限价，否则，其投标文件按无效标处理</w:t>
      </w:r>
      <w:r>
        <w:rPr>
          <w:rFonts w:hint="eastAsia" w:ascii="宋体" w:cs="宋体"/>
          <w:color w:val="auto"/>
          <w:szCs w:val="21"/>
        </w:rPr>
        <w:t>。</w:t>
      </w:r>
    </w:p>
    <w:p w14:paraId="5CE21F7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采购需求：</w:t>
      </w:r>
      <w:r>
        <w:rPr>
          <w:rFonts w:hint="eastAsia" w:ascii="宋体" w:cs="宋体"/>
          <w:color w:val="auto"/>
          <w:szCs w:val="21"/>
          <w:lang w:val="af-ZA"/>
        </w:rPr>
        <w:t>详见招标文件中</w:t>
      </w:r>
      <w:r>
        <w:rPr>
          <w:rFonts w:hint="eastAsia" w:hAnsi="宋体" w:cs="宋体"/>
          <w:color w:val="auto"/>
          <w:szCs w:val="21"/>
        </w:rPr>
        <w:t>采购需求及服务要求</w:t>
      </w:r>
      <w:r>
        <w:rPr>
          <w:rFonts w:hint="eastAsia" w:ascii="宋体" w:cs="宋体"/>
          <w:color w:val="auto"/>
          <w:szCs w:val="21"/>
          <w:lang w:val="af-ZA"/>
        </w:rPr>
        <w:t>。</w:t>
      </w:r>
    </w:p>
    <w:p w14:paraId="7E2B3234">
      <w:pPr>
        <w:spacing w:line="440" w:lineRule="exact"/>
        <w:ind w:firstLine="420" w:firstLineChars="200"/>
        <w:rPr>
          <w:rFonts w:ascii="宋体" w:hAnsi="宋体" w:cs="宋体"/>
          <w:color w:val="auto"/>
          <w:szCs w:val="21"/>
          <w:highlight w:val="yellow"/>
        </w:rPr>
      </w:pPr>
      <w:r>
        <w:rPr>
          <w:rFonts w:hint="eastAsia" w:ascii="宋体" w:hAnsi="宋体" w:cs="宋体"/>
          <w:color w:val="auto"/>
          <w:szCs w:val="21"/>
        </w:rPr>
        <w:t>合</w:t>
      </w:r>
      <w:r>
        <w:rPr>
          <w:rFonts w:hint="eastAsia" w:ascii="宋体" w:hAnsi="宋体" w:cs="宋体"/>
          <w:color w:val="auto"/>
          <w:szCs w:val="21"/>
          <w:highlight w:val="none"/>
        </w:rPr>
        <w:t>同履行期限：合同签订</w:t>
      </w:r>
      <w:r>
        <w:rPr>
          <w:rFonts w:hint="eastAsia" w:ascii="宋体" w:hAnsi="宋体" w:cs="宋体"/>
          <w:color w:val="auto"/>
          <w:szCs w:val="21"/>
          <w:highlight w:val="none"/>
          <w:lang w:val="en-US" w:eastAsia="zh-CN"/>
        </w:rPr>
        <w:t>之日起至2024年10月10日</w:t>
      </w:r>
      <w:r>
        <w:rPr>
          <w:rFonts w:hint="eastAsia" w:ascii="宋体" w:hAnsi="宋体" w:cs="宋体"/>
          <w:color w:val="auto"/>
          <w:szCs w:val="21"/>
          <w:highlight w:val="none"/>
        </w:rPr>
        <w:t>完成本项目所有内容</w:t>
      </w:r>
      <w:r>
        <w:rPr>
          <w:rFonts w:hint="eastAsia" w:ascii="宋体" w:cs="宋体"/>
          <w:color w:val="auto"/>
          <w:szCs w:val="21"/>
          <w:highlight w:val="none"/>
          <w:lang w:val="af-ZA"/>
        </w:rPr>
        <w:t>。</w:t>
      </w:r>
    </w:p>
    <w:p w14:paraId="232C954B">
      <w:pPr>
        <w:pStyle w:val="12"/>
        <w:spacing w:line="440" w:lineRule="exact"/>
        <w:ind w:left="420" w:leftChars="200"/>
        <w:jc w:val="left"/>
        <w:rPr>
          <w:rFonts w:hint="eastAsia" w:ascii="黑体" w:hAnsi="黑体" w:cs="黑体"/>
          <w:b/>
          <w:color w:val="auto"/>
          <w:kern w:val="0"/>
          <w:szCs w:val="21"/>
        </w:rPr>
      </w:pPr>
      <w:bookmarkStart w:id="17" w:name="_Toc35393622"/>
      <w:bookmarkStart w:id="18" w:name="_Toc22650"/>
      <w:bookmarkStart w:id="19" w:name="_Toc28359080"/>
      <w:bookmarkStart w:id="20" w:name="_Toc35393791"/>
      <w:bookmarkStart w:id="21" w:name="_Toc28359003"/>
      <w:r>
        <w:rPr>
          <w:rFonts w:hint="eastAsia" w:ascii="黑体" w:hAnsi="黑体" w:cs="黑体"/>
          <w:b/>
          <w:color w:val="auto"/>
          <w:kern w:val="0"/>
          <w:szCs w:val="21"/>
          <w:lang w:val="en-US" w:eastAsia="zh-CN"/>
        </w:rPr>
        <w:t>二、</w:t>
      </w:r>
      <w:r>
        <w:rPr>
          <w:rFonts w:hint="eastAsia" w:ascii="黑体" w:hAnsi="黑体" w:cs="黑体"/>
          <w:b/>
          <w:color w:val="auto"/>
          <w:kern w:val="0"/>
          <w:szCs w:val="21"/>
        </w:rPr>
        <w:t>申请人的资格要求</w:t>
      </w:r>
      <w:bookmarkEnd w:id="17"/>
      <w:bookmarkEnd w:id="18"/>
      <w:bookmarkEnd w:id="19"/>
      <w:bookmarkEnd w:id="20"/>
      <w:bookmarkEnd w:id="21"/>
    </w:p>
    <w:p w14:paraId="35230C67">
      <w:pPr>
        <w:shd w:val="clear" w:color="auto" w:fill="FFFFFF"/>
        <w:spacing w:line="440" w:lineRule="exact"/>
        <w:ind w:firstLine="420" w:firstLineChars="200"/>
        <w:rPr>
          <w:color w:val="auto"/>
        </w:rPr>
      </w:pPr>
      <w:r>
        <w:rPr>
          <w:rFonts w:hint="eastAsia" w:ascii="宋体" w:cs="宋体"/>
          <w:color w:val="auto"/>
          <w:szCs w:val="21"/>
        </w:rPr>
        <w:t>1、符合《中华人民共和国政府采购法》第二十二条规定；</w:t>
      </w:r>
    </w:p>
    <w:p w14:paraId="1DB245FE">
      <w:pPr>
        <w:spacing w:line="440" w:lineRule="exact"/>
        <w:ind w:firstLine="420" w:firstLineChars="200"/>
        <w:jc w:val="left"/>
        <w:rPr>
          <w:rFonts w:ascii="宋体" w:hAnsi="宋体" w:cs="宋体"/>
          <w:color w:val="auto"/>
          <w:szCs w:val="21"/>
          <w:highlight w:val="yellow"/>
        </w:rPr>
      </w:pPr>
      <w:bookmarkStart w:id="22" w:name="_Toc35393623"/>
      <w:bookmarkStart w:id="23" w:name="_Toc28359004"/>
      <w:bookmarkStart w:id="24" w:name="_Toc35393792"/>
      <w:bookmarkStart w:id="25" w:name="_Toc28359081"/>
      <w:r>
        <w:rPr>
          <w:rFonts w:hint="eastAsia" w:ascii="宋体" w:cs="宋体"/>
          <w:color w:val="auto"/>
          <w:szCs w:val="21"/>
          <w:lang w:val="en-US" w:eastAsia="zh-CN"/>
        </w:rPr>
        <w:t>2</w:t>
      </w:r>
      <w:r>
        <w:rPr>
          <w:rFonts w:hint="eastAsia" w:ascii="宋体" w:cs="宋体"/>
          <w:color w:val="auto"/>
          <w:szCs w:val="21"/>
        </w:rPr>
        <w:t>、</w:t>
      </w:r>
      <w:r>
        <w:rPr>
          <w:rFonts w:hint="eastAsia" w:ascii="宋体" w:hAnsi="宋体" w:cs="宋体"/>
          <w:color w:val="000000"/>
          <w:szCs w:val="21"/>
          <w:highlight w:val="none"/>
        </w:rPr>
        <w:t>本项目的特定资格要求：</w:t>
      </w:r>
      <w:r>
        <w:rPr>
          <w:rFonts w:hint="eastAsia" w:ascii="宋体" w:hAnsi="宋体" w:cs="宋体"/>
          <w:color w:val="auto"/>
          <w:szCs w:val="21"/>
          <w:highlight w:val="none"/>
        </w:rPr>
        <w:t>供应商具有独立法人资格，具有有效的营业执照、组织机构代码证、税务登记证（或三证合一证书）；</w:t>
      </w:r>
    </w:p>
    <w:p w14:paraId="351546F5">
      <w:pPr>
        <w:spacing w:line="440" w:lineRule="exact"/>
        <w:ind w:firstLine="420" w:firstLineChars="200"/>
        <w:jc w:val="left"/>
        <w:rPr>
          <w:rFonts w:ascii="宋体" w:hAnsi="宋体" w:cs="宋体"/>
          <w:color w:val="auto"/>
          <w:szCs w:val="21"/>
        </w:rPr>
      </w:pPr>
      <w:r>
        <w:rPr>
          <w:rFonts w:hint="eastAsia" w:ascii="宋体" w:cs="宋体"/>
          <w:color w:val="auto"/>
          <w:szCs w:val="21"/>
          <w:lang w:val="en-US" w:eastAsia="zh-CN"/>
        </w:rPr>
        <w:t>3</w:t>
      </w:r>
      <w:r>
        <w:rPr>
          <w:rFonts w:hint="eastAsia" w:ascii="宋体" w:cs="宋体"/>
          <w:color w:val="auto"/>
          <w:szCs w:val="21"/>
        </w:rPr>
        <w:t>、</w:t>
      </w:r>
      <w:r>
        <w:rPr>
          <w:rFonts w:hint="eastAsia" w:ascii="宋体" w:hAnsi="宋体" w:cs="宋体"/>
          <w:color w:val="auto"/>
          <w:szCs w:val="21"/>
        </w:rPr>
        <w:t>信誉要求：投标人不得存在以下情形：</w:t>
      </w:r>
    </w:p>
    <w:p w14:paraId="1A7DAD58">
      <w:pPr>
        <w:pStyle w:val="12"/>
        <w:spacing w:line="440" w:lineRule="exact"/>
        <w:ind w:firstLine="420" w:firstLineChars="200"/>
        <w:jc w:val="left"/>
        <w:rPr>
          <w:rFonts w:hAnsi="宋体" w:cs="宋体"/>
          <w:color w:val="auto"/>
          <w:szCs w:val="21"/>
        </w:rPr>
      </w:pPr>
      <w:r>
        <w:rPr>
          <w:rFonts w:hint="eastAsia" w:hAnsi="宋体" w:cs="宋体"/>
          <w:color w:val="auto"/>
          <w:szCs w:val="21"/>
        </w:rPr>
        <w:t>①投标人被人民法院列入失信被执行人的；</w:t>
      </w:r>
    </w:p>
    <w:p w14:paraId="25B3D3D6">
      <w:pPr>
        <w:pStyle w:val="12"/>
        <w:spacing w:line="440" w:lineRule="exact"/>
        <w:ind w:firstLine="420" w:firstLineChars="200"/>
        <w:jc w:val="left"/>
        <w:rPr>
          <w:rFonts w:hAnsi="宋体" w:cs="宋体"/>
          <w:color w:val="auto"/>
          <w:szCs w:val="21"/>
        </w:rPr>
      </w:pPr>
      <w:r>
        <w:rPr>
          <w:rFonts w:hint="eastAsia" w:hAnsi="宋体" w:cs="宋体"/>
          <w:color w:val="auto"/>
          <w:szCs w:val="21"/>
        </w:rPr>
        <w:t>②投标人或其法定代表人或拟派项目负责人前三年有行贿犯罪行为的；</w:t>
      </w:r>
    </w:p>
    <w:p w14:paraId="686E4712">
      <w:pPr>
        <w:pStyle w:val="12"/>
        <w:spacing w:line="440" w:lineRule="exact"/>
        <w:ind w:firstLine="420" w:firstLineChars="200"/>
        <w:jc w:val="left"/>
        <w:rPr>
          <w:rFonts w:hAnsi="宋体" w:cs="宋体"/>
          <w:color w:val="auto"/>
          <w:szCs w:val="21"/>
        </w:rPr>
      </w:pPr>
      <w:r>
        <w:rPr>
          <w:rFonts w:hint="eastAsia" w:hAnsi="宋体" w:cs="宋体"/>
          <w:color w:val="auto"/>
          <w:szCs w:val="21"/>
        </w:rPr>
        <w:t>③投标人被市场监督管理部门列入经营异常名录或者严重违法企业名单的；</w:t>
      </w:r>
    </w:p>
    <w:p w14:paraId="1851A0F6">
      <w:pPr>
        <w:pStyle w:val="12"/>
        <w:spacing w:line="440" w:lineRule="exact"/>
        <w:ind w:firstLine="420" w:firstLineChars="200"/>
        <w:jc w:val="left"/>
        <w:rPr>
          <w:rFonts w:hAnsi="宋体" w:cs="宋体"/>
          <w:color w:val="auto"/>
          <w:szCs w:val="21"/>
        </w:rPr>
      </w:pPr>
      <w:r>
        <w:rPr>
          <w:rFonts w:hint="eastAsia" w:hAnsi="宋体" w:cs="宋体"/>
          <w:color w:val="auto"/>
          <w:szCs w:val="21"/>
        </w:rPr>
        <w:t>④投标人被税务部门列入重大税收违法案件当事人的；</w:t>
      </w:r>
    </w:p>
    <w:p w14:paraId="565967CA">
      <w:pPr>
        <w:pStyle w:val="12"/>
        <w:spacing w:line="440" w:lineRule="exact"/>
        <w:ind w:firstLine="420" w:firstLineChars="200"/>
        <w:jc w:val="left"/>
        <w:rPr>
          <w:rFonts w:hAnsi="宋体" w:cs="宋体"/>
          <w:color w:val="auto"/>
          <w:szCs w:val="21"/>
        </w:rPr>
      </w:pPr>
      <w:r>
        <w:rPr>
          <w:rFonts w:hint="eastAsia" w:hAnsi="宋体" w:cs="宋体"/>
          <w:color w:val="auto"/>
          <w:szCs w:val="21"/>
        </w:rPr>
        <w:t>⑤投标人被采购监管部门列入采购严重违法失信行为记录名单的；</w:t>
      </w:r>
    </w:p>
    <w:p w14:paraId="26247D60">
      <w:pPr>
        <w:pStyle w:val="12"/>
        <w:spacing w:line="440" w:lineRule="exact"/>
        <w:ind w:firstLine="420" w:firstLineChars="200"/>
        <w:jc w:val="left"/>
        <w:rPr>
          <w:rFonts w:hAnsi="宋体" w:cs="宋体"/>
          <w:color w:val="auto"/>
          <w:szCs w:val="21"/>
        </w:rPr>
      </w:pPr>
      <w:r>
        <w:rPr>
          <w:rFonts w:hint="eastAsia" w:hAnsi="宋体" w:cs="宋体"/>
          <w:color w:val="auto"/>
          <w:szCs w:val="21"/>
        </w:rPr>
        <w:t>⑥在“信用中国”网站上披露仍在公示期的严重失信行为的；</w:t>
      </w:r>
    </w:p>
    <w:p w14:paraId="1BD5FF54">
      <w:pPr>
        <w:pStyle w:val="12"/>
        <w:numPr>
          <w:ilvl w:val="0"/>
          <w:numId w:val="0"/>
        </w:numPr>
        <w:spacing w:line="440" w:lineRule="exact"/>
        <w:ind w:firstLine="422" w:firstLineChars="200"/>
        <w:jc w:val="left"/>
        <w:rPr>
          <w:rFonts w:hAnsi="宋体" w:cs="宋体"/>
          <w:b/>
          <w:color w:val="auto"/>
          <w:kern w:val="0"/>
          <w:szCs w:val="21"/>
        </w:rPr>
      </w:pPr>
      <w:r>
        <w:rPr>
          <w:rFonts w:hint="eastAsia" w:ascii="黑体" w:hAnsi="黑体" w:cs="黑体"/>
          <w:b/>
          <w:color w:val="auto"/>
          <w:kern w:val="0"/>
          <w:szCs w:val="21"/>
          <w:lang w:val="en-US" w:eastAsia="zh-CN"/>
        </w:rPr>
        <w:t>三、</w:t>
      </w:r>
      <w:r>
        <w:rPr>
          <w:rFonts w:hint="eastAsia" w:ascii="黑体" w:hAnsi="黑体" w:cs="黑体"/>
          <w:b/>
          <w:color w:val="auto"/>
          <w:kern w:val="0"/>
          <w:szCs w:val="21"/>
        </w:rPr>
        <w:t>获取招标文件</w:t>
      </w:r>
      <w:r>
        <w:rPr>
          <w:rFonts w:hint="eastAsia" w:hAnsi="宋体" w:cs="宋体"/>
          <w:b/>
          <w:color w:val="auto"/>
          <w:kern w:val="0"/>
          <w:szCs w:val="21"/>
        </w:rPr>
        <w:t>时间：2024年</w:t>
      </w:r>
      <w:r>
        <w:rPr>
          <w:rFonts w:hint="eastAsia" w:hAnsi="宋体" w:cs="宋体"/>
          <w:b/>
          <w:color w:val="auto"/>
          <w:kern w:val="0"/>
          <w:szCs w:val="21"/>
          <w:lang w:val="en-US" w:eastAsia="zh-CN"/>
        </w:rPr>
        <w:t>9</w:t>
      </w:r>
      <w:r>
        <w:rPr>
          <w:rFonts w:hint="eastAsia" w:hAnsi="宋体" w:cs="宋体"/>
          <w:b/>
          <w:color w:val="auto"/>
          <w:kern w:val="0"/>
          <w:szCs w:val="21"/>
        </w:rPr>
        <w:t>月</w:t>
      </w:r>
      <w:r>
        <w:rPr>
          <w:rFonts w:hint="eastAsia" w:hAnsi="宋体" w:cs="宋体"/>
          <w:b/>
          <w:color w:val="auto"/>
          <w:kern w:val="0"/>
          <w:szCs w:val="21"/>
          <w:lang w:val="en-US" w:eastAsia="zh-CN"/>
        </w:rPr>
        <w:t xml:space="preserve">20 </w:t>
      </w:r>
      <w:r>
        <w:rPr>
          <w:rFonts w:hint="eastAsia" w:hAnsi="宋体" w:cs="宋体"/>
          <w:b/>
          <w:color w:val="auto"/>
          <w:kern w:val="0"/>
          <w:szCs w:val="21"/>
        </w:rPr>
        <w:t>日至2024年</w:t>
      </w:r>
      <w:r>
        <w:rPr>
          <w:rFonts w:hint="eastAsia" w:hAnsi="宋体" w:cs="宋体"/>
          <w:b/>
          <w:color w:val="auto"/>
          <w:kern w:val="0"/>
          <w:szCs w:val="21"/>
          <w:lang w:val="en-US" w:eastAsia="zh-CN"/>
        </w:rPr>
        <w:t>9</w:t>
      </w:r>
      <w:r>
        <w:rPr>
          <w:rFonts w:hint="eastAsia" w:hAnsi="宋体" w:cs="宋体"/>
          <w:b/>
          <w:color w:val="auto"/>
          <w:kern w:val="0"/>
          <w:szCs w:val="21"/>
        </w:rPr>
        <w:t>月</w:t>
      </w:r>
      <w:r>
        <w:rPr>
          <w:rFonts w:hint="eastAsia" w:hAnsi="宋体" w:cs="宋体"/>
          <w:b/>
          <w:color w:val="auto"/>
          <w:kern w:val="0"/>
          <w:szCs w:val="21"/>
          <w:lang w:val="en-US" w:eastAsia="zh-CN"/>
        </w:rPr>
        <w:t>26</w:t>
      </w:r>
      <w:r>
        <w:rPr>
          <w:rFonts w:hint="eastAsia" w:hAnsi="宋体" w:cs="宋体"/>
          <w:b/>
          <w:color w:val="auto"/>
          <w:kern w:val="0"/>
          <w:szCs w:val="21"/>
        </w:rPr>
        <w:t>日</w:t>
      </w:r>
      <w:r>
        <w:rPr>
          <w:rFonts w:hint="eastAsia" w:hAnsi="宋体" w:cs="宋体"/>
          <w:b/>
          <w:color w:val="auto"/>
          <w:kern w:val="0"/>
          <w:szCs w:val="21"/>
          <w:lang w:val="en-US" w:eastAsia="zh-CN"/>
        </w:rPr>
        <w:t>9</w:t>
      </w:r>
      <w:r>
        <w:rPr>
          <w:rFonts w:hint="eastAsia" w:hAnsi="宋体" w:cs="宋体"/>
          <w:b/>
          <w:color w:val="auto"/>
          <w:kern w:val="0"/>
          <w:szCs w:val="21"/>
        </w:rPr>
        <w:t>时00分</w:t>
      </w:r>
      <w:r>
        <w:rPr>
          <w:rFonts w:hint="eastAsia" w:hAnsi="宋体" w:cs="宋体"/>
          <w:b/>
          <w:color w:val="auto"/>
          <w:kern w:val="0"/>
          <w:szCs w:val="21"/>
          <w:lang w:val="en-US" w:eastAsia="zh-CN"/>
        </w:rPr>
        <w:t xml:space="preserve"> </w:t>
      </w:r>
    </w:p>
    <w:p w14:paraId="3A1D0C4C">
      <w:pPr>
        <w:pStyle w:val="12"/>
        <w:spacing w:line="440" w:lineRule="exact"/>
        <w:ind w:firstLine="420" w:firstLineChars="200"/>
        <w:jc w:val="left"/>
        <w:rPr>
          <w:rFonts w:hAnsi="宋体" w:cs="宋体"/>
          <w:bCs/>
          <w:color w:val="auto"/>
          <w:kern w:val="0"/>
          <w:szCs w:val="21"/>
        </w:rPr>
      </w:pPr>
      <w:r>
        <w:rPr>
          <w:rFonts w:hint="eastAsia" w:hAnsi="宋体" w:cs="宋体"/>
          <w:bCs/>
          <w:color w:val="auto"/>
          <w:kern w:val="0"/>
          <w:szCs w:val="21"/>
        </w:rPr>
        <w:t>地点：滁州开放大学（http://www.czou.ah.cn/）网上公告栏自行下载。</w:t>
      </w:r>
    </w:p>
    <w:p w14:paraId="557E865B">
      <w:pPr>
        <w:pStyle w:val="12"/>
        <w:spacing w:line="440" w:lineRule="exact"/>
        <w:ind w:firstLine="420" w:firstLineChars="200"/>
        <w:jc w:val="left"/>
        <w:rPr>
          <w:rFonts w:hAnsi="宋体" w:cs="宋体"/>
          <w:bCs/>
          <w:color w:val="auto"/>
          <w:kern w:val="0"/>
          <w:szCs w:val="21"/>
        </w:rPr>
      </w:pPr>
      <w:r>
        <w:rPr>
          <w:rFonts w:hint="eastAsia" w:hAnsi="宋体" w:cs="宋体"/>
          <w:bCs/>
          <w:color w:val="auto"/>
          <w:kern w:val="0"/>
          <w:szCs w:val="21"/>
        </w:rPr>
        <w:t>方式：网上下载</w:t>
      </w:r>
    </w:p>
    <w:p w14:paraId="55B8E759">
      <w:pPr>
        <w:pStyle w:val="12"/>
        <w:spacing w:line="440" w:lineRule="exact"/>
        <w:ind w:firstLine="422" w:firstLineChars="200"/>
        <w:jc w:val="left"/>
        <w:rPr>
          <w:rFonts w:hAnsi="宋体" w:cs="宋体"/>
          <w:b/>
          <w:color w:val="auto"/>
          <w:kern w:val="0"/>
          <w:szCs w:val="21"/>
        </w:rPr>
      </w:pPr>
      <w:r>
        <w:rPr>
          <w:rFonts w:hint="eastAsia" w:hAnsi="宋体" w:cs="宋体"/>
          <w:b/>
          <w:color w:val="auto"/>
          <w:kern w:val="0"/>
          <w:szCs w:val="21"/>
        </w:rPr>
        <w:t>售价：0元</w:t>
      </w:r>
    </w:p>
    <w:p w14:paraId="425F1077">
      <w:pPr>
        <w:pStyle w:val="12"/>
        <w:numPr>
          <w:ilvl w:val="0"/>
          <w:numId w:val="0"/>
        </w:numPr>
        <w:spacing w:line="440" w:lineRule="exact"/>
        <w:ind w:firstLine="422" w:firstLineChars="200"/>
        <w:jc w:val="left"/>
        <w:rPr>
          <w:rFonts w:ascii="黑体" w:hAnsi="黑体" w:cs="黑体"/>
          <w:b/>
          <w:color w:val="auto"/>
          <w:kern w:val="0"/>
          <w:szCs w:val="21"/>
        </w:rPr>
      </w:pPr>
      <w:r>
        <w:rPr>
          <w:rFonts w:hint="eastAsia" w:ascii="黑体" w:hAnsi="黑体" w:cs="黑体"/>
          <w:b/>
          <w:color w:val="auto"/>
          <w:kern w:val="0"/>
          <w:szCs w:val="21"/>
          <w:lang w:val="en-US" w:eastAsia="zh-CN"/>
        </w:rPr>
        <w:t>四、</w:t>
      </w:r>
      <w:r>
        <w:rPr>
          <w:rFonts w:hint="eastAsia" w:ascii="黑体" w:hAnsi="黑体" w:cs="黑体"/>
          <w:b/>
          <w:color w:val="auto"/>
          <w:kern w:val="0"/>
          <w:szCs w:val="21"/>
        </w:rPr>
        <w:t>提交投标文件截止时间、开标时间和地点</w:t>
      </w:r>
    </w:p>
    <w:p w14:paraId="5F955D88">
      <w:pPr>
        <w:pStyle w:val="12"/>
        <w:spacing w:line="440" w:lineRule="exact"/>
        <w:ind w:left="420" w:leftChars="200"/>
        <w:jc w:val="left"/>
        <w:rPr>
          <w:rFonts w:hAnsi="宋体" w:cs="宋体"/>
          <w:b/>
          <w:color w:val="auto"/>
          <w:kern w:val="0"/>
          <w:szCs w:val="21"/>
        </w:rPr>
      </w:pPr>
      <w:r>
        <w:rPr>
          <w:rFonts w:hint="eastAsia" w:hAnsi="宋体" w:cs="宋体"/>
          <w:b/>
          <w:color w:val="auto"/>
          <w:kern w:val="0"/>
          <w:szCs w:val="21"/>
        </w:rPr>
        <w:t>2024年9月2</w:t>
      </w:r>
      <w:r>
        <w:rPr>
          <w:rFonts w:hint="eastAsia" w:hAnsi="宋体" w:cs="宋体"/>
          <w:b/>
          <w:color w:val="auto"/>
          <w:kern w:val="0"/>
          <w:szCs w:val="21"/>
          <w:lang w:val="en-US" w:eastAsia="zh-CN"/>
        </w:rPr>
        <w:t>6</w:t>
      </w:r>
      <w:r>
        <w:rPr>
          <w:rFonts w:hint="eastAsia" w:hAnsi="宋体" w:cs="宋体"/>
          <w:b/>
          <w:color w:val="auto"/>
          <w:kern w:val="0"/>
          <w:szCs w:val="21"/>
        </w:rPr>
        <w:t>日</w:t>
      </w:r>
      <w:r>
        <w:rPr>
          <w:rFonts w:hint="eastAsia" w:hAnsi="宋体" w:cs="宋体"/>
          <w:b/>
          <w:color w:val="auto"/>
          <w:kern w:val="0"/>
          <w:szCs w:val="21"/>
          <w:lang w:val="en-US" w:eastAsia="zh-CN"/>
        </w:rPr>
        <w:t>9</w:t>
      </w:r>
      <w:r>
        <w:rPr>
          <w:rFonts w:hint="eastAsia" w:hAnsi="宋体" w:cs="宋体"/>
          <w:b/>
          <w:color w:val="auto"/>
          <w:kern w:val="0"/>
          <w:szCs w:val="21"/>
        </w:rPr>
        <w:t xml:space="preserve">时00分 （北京时间） </w:t>
      </w:r>
    </w:p>
    <w:p w14:paraId="40604717">
      <w:pPr>
        <w:pStyle w:val="12"/>
        <w:spacing w:line="440" w:lineRule="exact"/>
        <w:ind w:left="420" w:leftChars="200"/>
        <w:jc w:val="left"/>
        <w:rPr>
          <w:rFonts w:hAnsi="宋体" w:cs="宋体"/>
          <w:color w:val="auto"/>
          <w:kern w:val="0"/>
          <w:szCs w:val="21"/>
          <w:highlight w:val="none"/>
        </w:rPr>
      </w:pPr>
      <w:r>
        <w:rPr>
          <w:rFonts w:hint="eastAsia" w:hAnsi="宋体" w:cs="宋体"/>
          <w:b/>
          <w:color w:val="auto"/>
          <w:kern w:val="0"/>
          <w:szCs w:val="21"/>
          <w:highlight w:val="none"/>
        </w:rPr>
        <w:t>地点：</w:t>
      </w:r>
      <w:r>
        <w:rPr>
          <w:rFonts w:hint="eastAsia" w:hAnsi="宋体" w:cs="宋体"/>
          <w:bCs/>
          <w:color w:val="auto"/>
          <w:szCs w:val="21"/>
          <w:highlight w:val="none"/>
        </w:rPr>
        <w:t>滁州开放大学信息楼二楼会议室</w:t>
      </w:r>
    </w:p>
    <w:p w14:paraId="282BF554">
      <w:pPr>
        <w:pStyle w:val="12"/>
        <w:spacing w:line="440" w:lineRule="exact"/>
        <w:ind w:left="420" w:leftChars="200"/>
        <w:jc w:val="left"/>
        <w:rPr>
          <w:rFonts w:ascii="黑体" w:hAnsi="黑体" w:cs="黑体"/>
          <w:b/>
          <w:color w:val="auto"/>
          <w:kern w:val="0"/>
          <w:szCs w:val="21"/>
        </w:rPr>
      </w:pPr>
      <w:r>
        <w:rPr>
          <w:rFonts w:hint="eastAsia" w:ascii="黑体" w:hAnsi="黑体" w:cs="黑体"/>
          <w:b/>
          <w:color w:val="auto"/>
          <w:kern w:val="0"/>
          <w:szCs w:val="21"/>
        </w:rPr>
        <w:t>五、公告期限</w:t>
      </w:r>
    </w:p>
    <w:p w14:paraId="1958243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自本公告发布之日起至投标截止之日止。</w:t>
      </w:r>
    </w:p>
    <w:p w14:paraId="03892AFF">
      <w:pPr>
        <w:pStyle w:val="12"/>
        <w:spacing w:line="440" w:lineRule="exact"/>
        <w:ind w:left="420" w:leftChars="200"/>
        <w:jc w:val="left"/>
        <w:rPr>
          <w:rFonts w:hint="eastAsia" w:ascii="黑体" w:hAnsi="黑体" w:cs="黑体"/>
          <w:b/>
          <w:color w:val="auto"/>
          <w:kern w:val="0"/>
          <w:szCs w:val="21"/>
        </w:rPr>
      </w:pPr>
      <w:r>
        <w:rPr>
          <w:rFonts w:hint="eastAsia" w:ascii="黑体" w:hAnsi="黑体" w:cs="黑体"/>
          <w:b/>
          <w:color w:val="auto"/>
          <w:kern w:val="0"/>
          <w:szCs w:val="21"/>
        </w:rPr>
        <w:t>六、投标保证金金额及缴纳账户</w:t>
      </w:r>
    </w:p>
    <w:p w14:paraId="3869B2B6">
      <w:pPr>
        <w:spacing w:line="440" w:lineRule="exact"/>
        <w:ind w:firstLine="420" w:firstLineChars="200"/>
        <w:jc w:val="left"/>
        <w:rPr>
          <w:rFonts w:ascii="宋体" w:hAnsi="宋体" w:cs="宋体"/>
          <w:color w:val="auto"/>
          <w:szCs w:val="21"/>
        </w:rPr>
      </w:pPr>
      <w:r>
        <w:rPr>
          <w:rFonts w:hint="eastAsia" w:ascii="宋体" w:cs="宋体"/>
          <w:color w:val="auto"/>
          <w:szCs w:val="21"/>
        </w:rPr>
        <w:t>1、</w:t>
      </w:r>
      <w:r>
        <w:rPr>
          <w:rFonts w:hint="eastAsia" w:ascii="宋体" w:hAnsi="宋体" w:cs="宋体"/>
          <w:color w:val="auto"/>
          <w:szCs w:val="21"/>
        </w:rPr>
        <w:t>是否要求供应商提交投标保证金：</w:t>
      </w:r>
    </w:p>
    <w:p w14:paraId="0A2480F0">
      <w:pPr>
        <w:pStyle w:val="2"/>
        <w:spacing w:line="440" w:lineRule="exact"/>
        <w:ind w:firstLine="420" w:firstLineChars="200"/>
        <w:jc w:val="left"/>
        <w:rPr>
          <w:rFonts w:ascii="宋体" w:hAnsi="宋体" w:cs="宋体"/>
          <w:b w:val="0"/>
          <w:bCs w:val="0"/>
          <w:color w:val="auto"/>
          <w:sz w:val="21"/>
          <w:szCs w:val="21"/>
        </w:rPr>
      </w:pPr>
      <w:r>
        <w:rPr>
          <w:rFonts w:hint="eastAsia" w:ascii="宋体" w:hAnsi="宋体" w:cs="宋体"/>
          <w:b w:val="0"/>
          <w:bCs w:val="0"/>
          <w:color w:val="auto"/>
          <w:sz w:val="21"/>
          <w:szCs w:val="21"/>
        </w:rPr>
        <w:t>☑不要求，</w:t>
      </w:r>
    </w:p>
    <w:p w14:paraId="2CAF188B">
      <w:pPr>
        <w:pStyle w:val="12"/>
        <w:spacing w:line="440" w:lineRule="exact"/>
        <w:ind w:left="420" w:leftChars="200"/>
        <w:jc w:val="left"/>
        <w:rPr>
          <w:rFonts w:hint="eastAsia" w:ascii="黑体" w:hAnsi="黑体" w:cs="黑体"/>
          <w:b/>
          <w:color w:val="auto"/>
          <w:kern w:val="0"/>
          <w:szCs w:val="21"/>
        </w:rPr>
      </w:pPr>
      <w:r>
        <w:rPr>
          <w:rFonts w:hint="eastAsia" w:ascii="黑体" w:hAnsi="黑体" w:cs="黑体"/>
          <w:b/>
          <w:color w:val="auto"/>
          <w:kern w:val="0"/>
          <w:szCs w:val="21"/>
        </w:rPr>
        <w:t>七、联系方法</w:t>
      </w:r>
    </w:p>
    <w:p w14:paraId="616D6CAD">
      <w:pPr>
        <w:shd w:val="clear" w:color="auto" w:fill="FFFFFF"/>
        <w:spacing w:line="440" w:lineRule="exact"/>
        <w:ind w:firstLine="420" w:firstLineChars="200"/>
        <w:rPr>
          <w:rFonts w:ascii="宋体" w:cs="宋体"/>
          <w:color w:val="auto"/>
          <w:szCs w:val="21"/>
        </w:rPr>
      </w:pPr>
      <w:r>
        <w:rPr>
          <w:rFonts w:hint="eastAsia" w:ascii="宋体" w:cs="宋体"/>
          <w:color w:val="auto"/>
          <w:szCs w:val="21"/>
        </w:rPr>
        <w:t>1、项目单位：</w:t>
      </w:r>
      <w:r>
        <w:rPr>
          <w:rFonts w:hint="eastAsia" w:ascii="宋体" w:cs="宋体"/>
          <w:bCs/>
          <w:color w:val="auto"/>
          <w:szCs w:val="21"/>
        </w:rPr>
        <w:t>滁州开放大学</w:t>
      </w:r>
    </w:p>
    <w:p w14:paraId="6703384F">
      <w:pPr>
        <w:shd w:val="clear" w:color="auto" w:fill="FFFFFF"/>
        <w:spacing w:line="440" w:lineRule="exact"/>
        <w:ind w:firstLine="420" w:firstLineChars="200"/>
        <w:rPr>
          <w:rFonts w:ascii="宋体" w:cs="宋体"/>
          <w:color w:val="auto"/>
          <w:szCs w:val="21"/>
        </w:rPr>
      </w:pPr>
      <w:r>
        <w:rPr>
          <w:rFonts w:hint="eastAsia" w:ascii="宋体" w:cs="宋体"/>
          <w:color w:val="auto"/>
          <w:szCs w:val="21"/>
        </w:rPr>
        <w:t>地址：</w:t>
      </w:r>
      <w:r>
        <w:rPr>
          <w:rFonts w:hint="eastAsia"/>
          <w:color w:val="auto"/>
        </w:rPr>
        <w:t>滁州市凤凰东路371号(市教体局东侧）</w:t>
      </w:r>
      <w:bookmarkStart w:id="229" w:name="_GoBack"/>
      <w:bookmarkEnd w:id="229"/>
    </w:p>
    <w:p w14:paraId="0850A9F3">
      <w:pPr>
        <w:shd w:val="clear" w:color="auto" w:fill="FFFFFF"/>
        <w:spacing w:line="440" w:lineRule="exact"/>
        <w:ind w:firstLine="420" w:firstLineChars="200"/>
        <w:rPr>
          <w:rFonts w:ascii="宋体" w:cs="宋体"/>
          <w:color w:val="auto"/>
          <w:szCs w:val="21"/>
        </w:rPr>
      </w:pPr>
      <w:r>
        <w:rPr>
          <w:rFonts w:hint="eastAsia" w:ascii="宋体" w:cs="宋体"/>
          <w:color w:val="auto"/>
          <w:szCs w:val="21"/>
        </w:rPr>
        <w:t>联系人：</w:t>
      </w:r>
      <w:r>
        <w:rPr>
          <w:rFonts w:hint="eastAsia" w:ascii="宋体" w:cs="宋体"/>
          <w:color w:val="auto"/>
          <w:szCs w:val="21"/>
          <w:lang w:val="en-US" w:eastAsia="zh-CN"/>
        </w:rPr>
        <w:t>徐老师</w:t>
      </w:r>
    </w:p>
    <w:p w14:paraId="0A7BCF71">
      <w:pPr>
        <w:shd w:val="clear" w:color="auto" w:fill="FFFFFF"/>
        <w:spacing w:line="440" w:lineRule="exact"/>
        <w:ind w:firstLine="420" w:firstLineChars="200"/>
        <w:rPr>
          <w:rFonts w:hint="default" w:ascii="宋体" w:eastAsia="宋体" w:cs="宋体"/>
          <w:color w:val="auto"/>
          <w:szCs w:val="21"/>
          <w:lang w:val="en-US" w:eastAsia="zh-CN"/>
        </w:rPr>
      </w:pPr>
      <w:r>
        <w:rPr>
          <w:rFonts w:hint="eastAsia" w:ascii="宋体" w:cs="宋体"/>
          <w:color w:val="auto"/>
          <w:szCs w:val="21"/>
        </w:rPr>
        <w:t>电话：</w:t>
      </w:r>
      <w:r>
        <w:rPr>
          <w:rFonts w:hint="eastAsia" w:ascii="宋体" w:cs="宋体"/>
          <w:color w:val="auto"/>
          <w:szCs w:val="21"/>
          <w:lang w:val="en-US" w:eastAsia="zh-CN"/>
        </w:rPr>
        <w:t>0550-3025789</w:t>
      </w:r>
    </w:p>
    <w:p w14:paraId="5AE26099">
      <w:pPr>
        <w:shd w:val="clear" w:color="auto" w:fill="FFFFFF"/>
        <w:spacing w:line="440" w:lineRule="exact"/>
        <w:ind w:firstLine="420" w:firstLineChars="200"/>
        <w:rPr>
          <w:rFonts w:ascii="宋体" w:cs="宋体"/>
          <w:color w:val="auto"/>
          <w:szCs w:val="21"/>
        </w:rPr>
      </w:pPr>
      <w:r>
        <w:rPr>
          <w:rFonts w:hint="eastAsia" w:ascii="宋体" w:cs="宋体"/>
          <w:color w:val="auto"/>
          <w:szCs w:val="21"/>
        </w:rPr>
        <w:t>2、</w:t>
      </w:r>
      <w:r>
        <w:rPr>
          <w:rFonts w:hint="eastAsia" w:ascii="宋体" w:cs="宋体"/>
          <w:color w:val="auto"/>
          <w:szCs w:val="21"/>
          <w:lang w:val="en-US" w:eastAsia="zh-CN"/>
        </w:rPr>
        <w:t>采购</w:t>
      </w:r>
      <w:r>
        <w:rPr>
          <w:rFonts w:hint="eastAsia" w:ascii="宋体" w:cs="宋体"/>
          <w:color w:val="auto"/>
          <w:szCs w:val="21"/>
        </w:rPr>
        <w:t>代理机构：安徽广宇项目管理有限公司</w:t>
      </w:r>
    </w:p>
    <w:p w14:paraId="764ABA88">
      <w:pPr>
        <w:shd w:val="clear" w:color="auto" w:fill="FFFFFF"/>
        <w:spacing w:line="440" w:lineRule="exact"/>
        <w:ind w:firstLine="420" w:firstLineChars="200"/>
        <w:rPr>
          <w:rFonts w:ascii="宋体" w:cs="宋体"/>
          <w:bCs/>
          <w:color w:val="auto"/>
          <w:szCs w:val="21"/>
        </w:rPr>
      </w:pPr>
      <w:r>
        <w:rPr>
          <w:rFonts w:hint="eastAsia" w:ascii="宋体" w:cs="宋体"/>
          <w:color w:val="auto"/>
          <w:szCs w:val="21"/>
        </w:rPr>
        <w:t>地址：滁州市南谯区龙蟠大道188号14楼1406室</w:t>
      </w:r>
    </w:p>
    <w:p w14:paraId="3268B518">
      <w:pPr>
        <w:shd w:val="clear" w:color="auto" w:fill="FFFFFF"/>
        <w:spacing w:line="440" w:lineRule="exact"/>
        <w:ind w:firstLine="420" w:firstLineChars="200"/>
        <w:rPr>
          <w:rFonts w:hint="eastAsia" w:ascii="宋体" w:eastAsia="宋体" w:cs="宋体"/>
          <w:color w:val="auto"/>
          <w:szCs w:val="21"/>
          <w:lang w:eastAsia="zh-CN"/>
        </w:rPr>
      </w:pPr>
      <w:r>
        <w:rPr>
          <w:rFonts w:hint="eastAsia" w:ascii="宋体" w:cs="宋体"/>
          <w:color w:val="auto"/>
          <w:szCs w:val="21"/>
        </w:rPr>
        <w:t>联系人：</w:t>
      </w:r>
      <w:r>
        <w:rPr>
          <w:rFonts w:hint="eastAsia" w:ascii="宋体" w:cs="宋体"/>
          <w:color w:val="auto"/>
          <w:szCs w:val="21"/>
          <w:lang w:val="en-US" w:eastAsia="zh-CN"/>
        </w:rPr>
        <w:t>鲁晓燕</w:t>
      </w:r>
    </w:p>
    <w:p w14:paraId="103CBF7B">
      <w:pPr>
        <w:shd w:val="clear" w:color="auto" w:fill="FFFFFF"/>
        <w:spacing w:line="440" w:lineRule="exact"/>
        <w:ind w:firstLine="420" w:firstLineChars="200"/>
        <w:rPr>
          <w:rFonts w:hint="default" w:ascii="仿宋" w:eastAsia="宋体" w:cs="宋体"/>
          <w:color w:val="auto"/>
          <w:sz w:val="32"/>
          <w:szCs w:val="32"/>
          <w:lang w:val="en-US" w:eastAsia="zh-CN"/>
        </w:rPr>
      </w:pPr>
      <w:r>
        <w:rPr>
          <w:rFonts w:hint="eastAsia" w:ascii="宋体" w:cs="宋体"/>
          <w:color w:val="auto"/>
          <w:szCs w:val="21"/>
        </w:rPr>
        <w:t>电话：0550-3908889 、</w:t>
      </w:r>
      <w:r>
        <w:rPr>
          <w:rFonts w:hint="eastAsia" w:ascii="宋体" w:cs="宋体"/>
          <w:color w:val="auto"/>
          <w:szCs w:val="21"/>
          <w:lang w:val="en-US" w:eastAsia="zh-CN"/>
        </w:rPr>
        <w:t>18055012300</w:t>
      </w:r>
    </w:p>
    <w:p w14:paraId="34F15D14">
      <w:pPr>
        <w:pStyle w:val="2"/>
        <w:spacing w:before="97" w:beforeLines="30" w:after="97" w:afterLines="30" w:line="440" w:lineRule="exact"/>
        <w:ind w:firstLine="422" w:firstLineChars="200"/>
        <w:jc w:val="left"/>
        <w:rPr>
          <w:rFonts w:ascii="黑体" w:hAnsi="黑体" w:eastAsia="黑体" w:cs="黑体"/>
          <w:bCs w:val="0"/>
          <w:color w:val="auto"/>
          <w:sz w:val="21"/>
          <w:szCs w:val="21"/>
        </w:rPr>
      </w:pPr>
      <w:r>
        <w:rPr>
          <w:rFonts w:hint="eastAsia" w:ascii="黑体" w:hAnsi="黑体" w:eastAsia="宋体" w:cs="黑体"/>
          <w:b/>
          <w:bCs w:val="0"/>
          <w:color w:val="auto"/>
          <w:kern w:val="0"/>
          <w:sz w:val="21"/>
          <w:szCs w:val="21"/>
          <w:u w:color="000000"/>
          <w:lang w:val="en-US" w:eastAsia="zh-CN" w:bidi="ar-SA"/>
        </w:rPr>
        <w:t>八、公告发布媒体</w:t>
      </w:r>
    </w:p>
    <w:bookmarkEnd w:id="22"/>
    <w:bookmarkEnd w:id="23"/>
    <w:bookmarkEnd w:id="24"/>
    <w:bookmarkEnd w:id="25"/>
    <w:p w14:paraId="192085D1">
      <w:pPr>
        <w:jc w:val="both"/>
        <w:rPr>
          <w:rFonts w:ascii="宋体" w:hAnsi="宋体" w:cs="宋体"/>
          <w:b/>
          <w:color w:val="auto"/>
          <w:sz w:val="32"/>
        </w:rPr>
      </w:pPr>
      <w:r>
        <w:rPr>
          <w:rFonts w:hint="eastAsia" w:ascii="宋体" w:hAnsi="宋体" w:cs="宋体"/>
          <w:color w:val="auto"/>
          <w:kern w:val="0"/>
        </w:rPr>
        <w:t>滁州开放大学（http://www.czou.ah.cn/）</w:t>
      </w:r>
    </w:p>
    <w:p w14:paraId="437EC91D">
      <w:pPr>
        <w:jc w:val="center"/>
        <w:rPr>
          <w:rFonts w:ascii="宋体" w:hAnsi="宋体" w:cs="宋体"/>
          <w:b/>
          <w:color w:val="auto"/>
          <w:sz w:val="32"/>
        </w:rPr>
      </w:pPr>
    </w:p>
    <w:p w14:paraId="53503CEB">
      <w:pPr>
        <w:jc w:val="center"/>
        <w:rPr>
          <w:rFonts w:ascii="宋体" w:hAnsi="宋体" w:cs="宋体"/>
          <w:b/>
          <w:color w:val="auto"/>
          <w:sz w:val="32"/>
        </w:rPr>
      </w:pPr>
    </w:p>
    <w:p w14:paraId="12BC5E34">
      <w:pPr>
        <w:jc w:val="center"/>
        <w:rPr>
          <w:rFonts w:ascii="宋体" w:hAnsi="宋体" w:cs="宋体"/>
          <w:b/>
          <w:color w:val="auto"/>
          <w:sz w:val="32"/>
        </w:rPr>
      </w:pPr>
    </w:p>
    <w:p w14:paraId="57F30215">
      <w:pPr>
        <w:jc w:val="center"/>
        <w:rPr>
          <w:rFonts w:ascii="宋体" w:hAnsi="宋体" w:cs="宋体"/>
          <w:b/>
          <w:color w:val="auto"/>
          <w:sz w:val="32"/>
        </w:rPr>
      </w:pPr>
    </w:p>
    <w:p w14:paraId="0CE77F3D">
      <w:pPr>
        <w:jc w:val="center"/>
        <w:rPr>
          <w:rFonts w:ascii="宋体" w:hAnsi="宋体" w:cs="宋体"/>
          <w:b/>
          <w:color w:val="auto"/>
          <w:sz w:val="32"/>
        </w:rPr>
      </w:pPr>
    </w:p>
    <w:p w14:paraId="774C8BB5">
      <w:pPr>
        <w:pStyle w:val="4"/>
        <w:outlineLvl w:val="9"/>
        <w:rPr>
          <w:color w:val="auto"/>
        </w:rPr>
      </w:pPr>
    </w:p>
    <w:p w14:paraId="5FBB4354">
      <w:pPr>
        <w:rPr>
          <w:color w:val="auto"/>
        </w:rPr>
      </w:pPr>
    </w:p>
    <w:p w14:paraId="0178BE92">
      <w:pPr>
        <w:pStyle w:val="26"/>
        <w:ind w:firstLine="480"/>
        <w:rPr>
          <w:color w:val="auto"/>
        </w:rPr>
      </w:pPr>
    </w:p>
    <w:p w14:paraId="2CAEA3D7">
      <w:pPr>
        <w:pStyle w:val="26"/>
        <w:ind w:firstLine="480"/>
        <w:rPr>
          <w:color w:val="auto"/>
        </w:rPr>
      </w:pPr>
    </w:p>
    <w:p w14:paraId="4A22107A">
      <w:pPr>
        <w:pStyle w:val="26"/>
        <w:ind w:firstLine="480"/>
        <w:rPr>
          <w:color w:val="auto"/>
        </w:rPr>
      </w:pPr>
    </w:p>
    <w:p w14:paraId="54D64BF4">
      <w:pPr>
        <w:pStyle w:val="26"/>
        <w:ind w:firstLine="480"/>
        <w:rPr>
          <w:color w:val="auto"/>
        </w:rPr>
      </w:pPr>
    </w:p>
    <w:p w14:paraId="76C058DE">
      <w:pPr>
        <w:pStyle w:val="26"/>
        <w:ind w:firstLine="480"/>
        <w:rPr>
          <w:color w:val="auto"/>
        </w:rPr>
      </w:pPr>
    </w:p>
    <w:p w14:paraId="79B87DD4">
      <w:pPr>
        <w:pStyle w:val="26"/>
        <w:ind w:firstLine="480"/>
        <w:rPr>
          <w:color w:val="auto"/>
        </w:rPr>
      </w:pPr>
    </w:p>
    <w:p w14:paraId="4262A6F3">
      <w:pPr>
        <w:rPr>
          <w:color w:val="auto"/>
        </w:rPr>
      </w:pPr>
    </w:p>
    <w:p w14:paraId="607C786A">
      <w:pPr>
        <w:rPr>
          <w:color w:val="auto"/>
        </w:rPr>
      </w:pPr>
    </w:p>
    <w:p w14:paraId="40932B34">
      <w:pPr>
        <w:rPr>
          <w:color w:val="auto"/>
        </w:rPr>
      </w:pPr>
    </w:p>
    <w:p w14:paraId="1D758B5C">
      <w:pPr>
        <w:pStyle w:val="3"/>
        <w:widowControl w:val="0"/>
        <w:wordWrap w:val="0"/>
        <w:spacing w:before="0" w:after="0" w:line="360" w:lineRule="exact"/>
        <w:ind w:firstLine="2891" w:firstLineChars="900"/>
        <w:textAlignment w:val="auto"/>
        <w:rPr>
          <w:color w:val="auto"/>
        </w:rPr>
      </w:pPr>
      <w:bookmarkStart w:id="26" w:name="_Toc18669"/>
      <w:bookmarkStart w:id="27" w:name="_Toc994"/>
      <w:bookmarkStart w:id="28" w:name="_Toc13889"/>
      <w:bookmarkStart w:id="29" w:name="_Toc131512189"/>
      <w:r>
        <w:rPr>
          <w:rFonts w:hint="eastAsia" w:ascii="宋体" w:cs="宋体"/>
          <w:color w:val="000000"/>
          <w:sz w:val="32"/>
          <w:szCs w:val="32"/>
          <w:highlight w:val="none"/>
        </w:rPr>
        <w:t>第二章 投标人须知</w:t>
      </w:r>
      <w:bookmarkEnd w:id="26"/>
      <w:bookmarkEnd w:id="27"/>
      <w:bookmarkEnd w:id="28"/>
      <w:bookmarkEnd w:id="29"/>
    </w:p>
    <w:p w14:paraId="16945642">
      <w:pPr>
        <w:jc w:val="center"/>
        <w:rPr>
          <w:rFonts w:ascii="宋体" w:hAnsi="宋体" w:cs="宋体"/>
          <w:b/>
          <w:color w:val="auto"/>
          <w:sz w:val="32"/>
        </w:rPr>
      </w:pPr>
      <w:r>
        <w:rPr>
          <w:rFonts w:hint="eastAsia" w:ascii="宋体" w:hAnsi="宋体" w:cs="宋体"/>
          <w:b/>
          <w:color w:val="auto"/>
          <w:sz w:val="32"/>
        </w:rPr>
        <w:t>A、投标须知前附表</w:t>
      </w:r>
    </w:p>
    <w:tbl>
      <w:tblPr>
        <w:tblStyle w:val="22"/>
        <w:tblW w:w="10118" w:type="dxa"/>
        <w:jc w:val="center"/>
        <w:tblLayout w:type="fixed"/>
        <w:tblCellMar>
          <w:top w:w="0" w:type="dxa"/>
          <w:left w:w="0" w:type="dxa"/>
          <w:bottom w:w="0" w:type="dxa"/>
          <w:right w:w="0" w:type="dxa"/>
        </w:tblCellMar>
      </w:tblPr>
      <w:tblGrid>
        <w:gridCol w:w="603"/>
        <w:gridCol w:w="1688"/>
        <w:gridCol w:w="7827"/>
      </w:tblGrid>
      <w:tr w14:paraId="393203DF">
        <w:tblPrEx>
          <w:tblCellMar>
            <w:top w:w="0" w:type="dxa"/>
            <w:left w:w="0" w:type="dxa"/>
            <w:bottom w:w="0" w:type="dxa"/>
            <w:right w:w="0" w:type="dxa"/>
          </w:tblCellMar>
        </w:tblPrEx>
        <w:trPr>
          <w:trHeight w:val="276"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12EBC06F">
            <w:pPr>
              <w:spacing w:line="440" w:lineRule="exact"/>
              <w:jc w:val="center"/>
              <w:rPr>
                <w:rFonts w:ascii="宋体" w:hAnsi="宋体" w:cs="宋体"/>
                <w:color w:val="auto"/>
                <w:kern w:val="0"/>
                <w:szCs w:val="21"/>
              </w:rPr>
            </w:pPr>
            <w:r>
              <w:rPr>
                <w:rFonts w:hint="eastAsia" w:ascii="宋体" w:hAnsi="宋体" w:cs="宋体"/>
                <w:color w:val="auto"/>
                <w:kern w:val="0"/>
                <w:szCs w:val="21"/>
              </w:rPr>
              <w:t>编号</w:t>
            </w:r>
          </w:p>
        </w:tc>
        <w:tc>
          <w:tcPr>
            <w:tcW w:w="1688" w:type="dxa"/>
            <w:tcBorders>
              <w:top w:val="single" w:color="auto" w:sz="8" w:space="0"/>
              <w:left w:val="single" w:color="auto" w:sz="4" w:space="0"/>
              <w:bottom w:val="single" w:color="auto" w:sz="8" w:space="0"/>
              <w:right w:val="single" w:color="auto" w:sz="4" w:space="0"/>
            </w:tcBorders>
            <w:vAlign w:val="center"/>
          </w:tcPr>
          <w:p w14:paraId="5CAECD94">
            <w:pPr>
              <w:spacing w:line="440" w:lineRule="exact"/>
              <w:jc w:val="center"/>
              <w:rPr>
                <w:rFonts w:ascii="宋体" w:hAnsi="宋体" w:cs="宋体"/>
                <w:color w:val="auto"/>
                <w:kern w:val="0"/>
                <w:szCs w:val="21"/>
              </w:rPr>
            </w:pPr>
            <w:r>
              <w:rPr>
                <w:rFonts w:hint="eastAsia" w:ascii="宋体" w:hAnsi="宋体" w:cs="宋体"/>
                <w:color w:val="auto"/>
                <w:kern w:val="0"/>
                <w:szCs w:val="21"/>
              </w:rPr>
              <w:t>内容</w:t>
            </w:r>
          </w:p>
        </w:tc>
        <w:tc>
          <w:tcPr>
            <w:tcW w:w="7827" w:type="dxa"/>
            <w:tcBorders>
              <w:top w:val="single" w:color="auto" w:sz="8" w:space="0"/>
              <w:left w:val="single" w:color="auto" w:sz="4" w:space="0"/>
              <w:bottom w:val="single" w:color="auto" w:sz="8" w:space="0"/>
              <w:right w:val="single" w:color="auto" w:sz="8" w:space="0"/>
            </w:tcBorders>
            <w:vAlign w:val="center"/>
          </w:tcPr>
          <w:p w14:paraId="624CC763">
            <w:pPr>
              <w:spacing w:line="440" w:lineRule="exact"/>
              <w:jc w:val="center"/>
              <w:rPr>
                <w:rFonts w:ascii="宋体" w:hAnsi="宋体" w:cs="宋体"/>
                <w:color w:val="auto"/>
                <w:kern w:val="0"/>
                <w:szCs w:val="21"/>
              </w:rPr>
            </w:pPr>
            <w:r>
              <w:rPr>
                <w:rFonts w:hint="eastAsia" w:ascii="宋体" w:hAnsi="宋体" w:cs="宋体"/>
                <w:color w:val="auto"/>
                <w:kern w:val="0"/>
                <w:szCs w:val="21"/>
              </w:rPr>
              <w:t>说明与要求</w:t>
            </w:r>
          </w:p>
        </w:tc>
      </w:tr>
      <w:tr w14:paraId="5832785C">
        <w:tblPrEx>
          <w:tblCellMar>
            <w:top w:w="0" w:type="dxa"/>
            <w:left w:w="0" w:type="dxa"/>
            <w:bottom w:w="0" w:type="dxa"/>
            <w:right w:w="0" w:type="dxa"/>
          </w:tblCellMar>
        </w:tblPrEx>
        <w:trPr>
          <w:trHeight w:val="276"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13979BF8">
            <w:pPr>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1688" w:type="dxa"/>
            <w:tcBorders>
              <w:top w:val="single" w:color="auto" w:sz="8" w:space="0"/>
              <w:left w:val="single" w:color="auto" w:sz="4" w:space="0"/>
              <w:bottom w:val="single" w:color="auto" w:sz="8" w:space="0"/>
              <w:right w:val="single" w:color="auto" w:sz="4" w:space="0"/>
            </w:tcBorders>
            <w:vAlign w:val="center"/>
          </w:tcPr>
          <w:p w14:paraId="10A0F7B0">
            <w:pPr>
              <w:spacing w:line="44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7827" w:type="dxa"/>
            <w:tcBorders>
              <w:top w:val="single" w:color="auto" w:sz="8" w:space="0"/>
              <w:left w:val="single" w:color="auto" w:sz="4" w:space="0"/>
              <w:bottom w:val="single" w:color="auto" w:sz="8" w:space="0"/>
              <w:right w:val="single" w:color="auto" w:sz="8" w:space="0"/>
            </w:tcBorders>
            <w:vAlign w:val="center"/>
          </w:tcPr>
          <w:p w14:paraId="6DE27C79">
            <w:pPr>
              <w:spacing w:line="440" w:lineRule="exact"/>
              <w:rPr>
                <w:rFonts w:hint="eastAsia" w:ascii="宋体" w:hAnsi="宋体" w:eastAsia="宋体" w:cs="宋体"/>
                <w:color w:val="auto"/>
                <w:kern w:val="0"/>
                <w:szCs w:val="21"/>
                <w:lang w:eastAsia="zh-CN"/>
              </w:rPr>
            </w:pPr>
            <w:r>
              <w:rPr>
                <w:rFonts w:hint="eastAsia" w:ascii="宋体" w:hAnsi="宋体" w:cs="宋体"/>
                <w:color w:val="auto"/>
                <w:szCs w:val="21"/>
                <w:lang w:eastAsia="zh-CN"/>
              </w:rPr>
              <w:t>滁州开放大学关于省校建校45周年宣传素材制作项目</w:t>
            </w:r>
          </w:p>
        </w:tc>
      </w:tr>
      <w:tr w14:paraId="6460A180">
        <w:tblPrEx>
          <w:tblCellMar>
            <w:top w:w="0" w:type="dxa"/>
            <w:left w:w="0" w:type="dxa"/>
            <w:bottom w:w="0" w:type="dxa"/>
            <w:right w:w="0" w:type="dxa"/>
          </w:tblCellMar>
        </w:tblPrEx>
        <w:trPr>
          <w:trHeight w:val="276"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143E2148">
            <w:pPr>
              <w:spacing w:line="440" w:lineRule="exact"/>
              <w:jc w:val="center"/>
              <w:rPr>
                <w:rFonts w:ascii="宋体" w:hAnsi="宋体" w:cs="宋体"/>
                <w:color w:val="auto"/>
                <w:kern w:val="0"/>
                <w:szCs w:val="21"/>
              </w:rPr>
            </w:pPr>
            <w:r>
              <w:rPr>
                <w:rFonts w:hint="eastAsia" w:ascii="宋体" w:hAnsi="宋体" w:cs="宋体"/>
                <w:color w:val="auto"/>
                <w:kern w:val="0"/>
                <w:szCs w:val="21"/>
              </w:rPr>
              <w:t>3</w:t>
            </w:r>
          </w:p>
        </w:tc>
        <w:tc>
          <w:tcPr>
            <w:tcW w:w="1688" w:type="dxa"/>
            <w:tcBorders>
              <w:top w:val="single" w:color="auto" w:sz="8" w:space="0"/>
              <w:left w:val="single" w:color="auto" w:sz="4" w:space="0"/>
              <w:bottom w:val="single" w:color="auto" w:sz="8" w:space="0"/>
              <w:right w:val="single" w:color="auto" w:sz="4" w:space="0"/>
            </w:tcBorders>
            <w:vAlign w:val="center"/>
          </w:tcPr>
          <w:p w14:paraId="35A39A06">
            <w:pPr>
              <w:pStyle w:val="12"/>
              <w:wordWrap w:val="0"/>
              <w:spacing w:line="440" w:lineRule="exact"/>
              <w:jc w:val="center"/>
              <w:rPr>
                <w:rFonts w:hAnsi="宋体" w:cs="宋体"/>
                <w:color w:val="auto"/>
                <w:kern w:val="0"/>
                <w:szCs w:val="21"/>
              </w:rPr>
            </w:pPr>
            <w:r>
              <w:rPr>
                <w:rFonts w:hint="eastAsia" w:hAnsi="宋体" w:cs="宋体"/>
                <w:color w:val="auto"/>
                <w:szCs w:val="21"/>
              </w:rPr>
              <w:t>服务期</w:t>
            </w:r>
          </w:p>
        </w:tc>
        <w:tc>
          <w:tcPr>
            <w:tcW w:w="7827" w:type="dxa"/>
            <w:tcBorders>
              <w:top w:val="single" w:color="auto" w:sz="8" w:space="0"/>
              <w:left w:val="single" w:color="auto" w:sz="4" w:space="0"/>
              <w:bottom w:val="single" w:color="auto" w:sz="8" w:space="0"/>
              <w:right w:val="single" w:color="auto" w:sz="8" w:space="0"/>
            </w:tcBorders>
            <w:vAlign w:val="center"/>
          </w:tcPr>
          <w:p w14:paraId="545386A7">
            <w:pPr>
              <w:spacing w:line="440" w:lineRule="exact"/>
              <w:jc w:val="left"/>
              <w:rPr>
                <w:rFonts w:ascii="宋体" w:hAnsi="宋体" w:cs="宋体"/>
                <w:color w:val="auto"/>
                <w:szCs w:val="21"/>
              </w:rPr>
            </w:pPr>
            <w:r>
              <w:rPr>
                <w:rFonts w:hint="eastAsia" w:ascii="宋体" w:hAnsi="宋体" w:cs="宋体"/>
                <w:color w:val="auto"/>
                <w:szCs w:val="21"/>
              </w:rPr>
              <w:t>合同签订之日起至2024年10月10日完成本项目所有内容。</w:t>
            </w:r>
          </w:p>
        </w:tc>
      </w:tr>
      <w:tr w14:paraId="364F51CA">
        <w:tblPrEx>
          <w:tblCellMar>
            <w:top w:w="0" w:type="dxa"/>
            <w:left w:w="0" w:type="dxa"/>
            <w:bottom w:w="0" w:type="dxa"/>
            <w:right w:w="0" w:type="dxa"/>
          </w:tblCellMar>
        </w:tblPrEx>
        <w:trPr>
          <w:trHeight w:val="276"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0A875D9B">
            <w:pPr>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1688" w:type="dxa"/>
            <w:tcBorders>
              <w:top w:val="single" w:color="auto" w:sz="8" w:space="0"/>
              <w:left w:val="single" w:color="auto" w:sz="4" w:space="0"/>
              <w:bottom w:val="single" w:color="auto" w:sz="8" w:space="0"/>
              <w:right w:val="single" w:color="auto" w:sz="4" w:space="0"/>
            </w:tcBorders>
            <w:vAlign w:val="center"/>
          </w:tcPr>
          <w:p w14:paraId="4A7C58F2">
            <w:pPr>
              <w:pStyle w:val="12"/>
              <w:wordWrap w:val="0"/>
              <w:spacing w:line="440" w:lineRule="exact"/>
              <w:jc w:val="center"/>
              <w:rPr>
                <w:rFonts w:hAnsi="宋体" w:cs="宋体"/>
                <w:color w:val="auto"/>
                <w:kern w:val="0"/>
                <w:szCs w:val="21"/>
              </w:rPr>
            </w:pPr>
            <w:r>
              <w:rPr>
                <w:rFonts w:hint="eastAsia" w:hAnsi="宋体" w:cs="宋体"/>
                <w:color w:val="auto"/>
                <w:szCs w:val="21"/>
                <w:lang w:eastAsia="zh-CN"/>
              </w:rPr>
              <w:t>服务</w:t>
            </w:r>
            <w:r>
              <w:rPr>
                <w:rFonts w:hint="eastAsia" w:hAnsi="宋体" w:cs="宋体"/>
                <w:color w:val="auto"/>
                <w:szCs w:val="21"/>
              </w:rPr>
              <w:t>地点</w:t>
            </w:r>
          </w:p>
        </w:tc>
        <w:tc>
          <w:tcPr>
            <w:tcW w:w="7827" w:type="dxa"/>
            <w:tcBorders>
              <w:top w:val="single" w:color="auto" w:sz="8" w:space="0"/>
              <w:left w:val="single" w:color="auto" w:sz="4" w:space="0"/>
              <w:bottom w:val="single" w:color="auto" w:sz="8" w:space="0"/>
              <w:right w:val="single" w:color="auto" w:sz="8" w:space="0"/>
            </w:tcBorders>
            <w:vAlign w:val="center"/>
          </w:tcPr>
          <w:p w14:paraId="3C9C30B1">
            <w:pPr>
              <w:wordWrap w:val="0"/>
              <w:spacing w:line="440" w:lineRule="exact"/>
              <w:rPr>
                <w:rFonts w:ascii="宋体" w:hAnsi="宋体" w:cs="宋体"/>
                <w:color w:val="auto"/>
                <w:szCs w:val="21"/>
              </w:rPr>
            </w:pPr>
            <w:r>
              <w:rPr>
                <w:rFonts w:hint="eastAsia" w:ascii="宋体" w:hAnsi="宋体" w:cs="宋体"/>
                <w:color w:val="auto"/>
                <w:kern w:val="0"/>
                <w:szCs w:val="21"/>
              </w:rPr>
              <w:t>采购人指定</w:t>
            </w:r>
          </w:p>
        </w:tc>
      </w:tr>
      <w:tr w14:paraId="199EBE87">
        <w:tblPrEx>
          <w:tblCellMar>
            <w:top w:w="0" w:type="dxa"/>
            <w:left w:w="0" w:type="dxa"/>
            <w:bottom w:w="0" w:type="dxa"/>
            <w:right w:w="0" w:type="dxa"/>
          </w:tblCellMar>
        </w:tblPrEx>
        <w:trPr>
          <w:trHeight w:val="276"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54168227">
            <w:pPr>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1688" w:type="dxa"/>
            <w:tcBorders>
              <w:top w:val="single" w:color="auto" w:sz="8" w:space="0"/>
              <w:left w:val="single" w:color="auto" w:sz="4" w:space="0"/>
              <w:bottom w:val="single" w:color="auto" w:sz="8" w:space="0"/>
              <w:right w:val="single" w:color="auto" w:sz="4" w:space="0"/>
            </w:tcBorders>
            <w:vAlign w:val="center"/>
          </w:tcPr>
          <w:p w14:paraId="43039238">
            <w:pPr>
              <w:pStyle w:val="12"/>
              <w:wordWrap w:val="0"/>
              <w:spacing w:line="440" w:lineRule="exact"/>
              <w:jc w:val="center"/>
              <w:rPr>
                <w:rFonts w:hAnsi="宋体" w:cs="宋体"/>
                <w:color w:val="auto"/>
                <w:kern w:val="0"/>
                <w:szCs w:val="21"/>
              </w:rPr>
            </w:pPr>
            <w:r>
              <w:rPr>
                <w:rFonts w:hint="eastAsia" w:hAnsi="宋体" w:cs="宋体"/>
                <w:color w:val="auto"/>
                <w:szCs w:val="21"/>
                <w:lang w:val="en-US" w:eastAsia="zh-CN"/>
              </w:rPr>
              <w:t>采购人</w:t>
            </w:r>
            <w:r>
              <w:rPr>
                <w:rFonts w:hint="eastAsia" w:hAnsi="宋体" w:cs="宋体"/>
                <w:color w:val="auto"/>
                <w:szCs w:val="21"/>
              </w:rPr>
              <w:t>联系人及电话</w:t>
            </w:r>
          </w:p>
        </w:tc>
        <w:tc>
          <w:tcPr>
            <w:tcW w:w="7827" w:type="dxa"/>
            <w:tcBorders>
              <w:top w:val="single" w:color="auto" w:sz="8" w:space="0"/>
              <w:left w:val="single" w:color="auto" w:sz="4" w:space="0"/>
              <w:bottom w:val="single" w:color="auto" w:sz="8" w:space="0"/>
              <w:right w:val="single" w:color="auto" w:sz="8" w:space="0"/>
            </w:tcBorders>
            <w:vAlign w:val="center"/>
          </w:tcPr>
          <w:p w14:paraId="5155FA77">
            <w:pPr>
              <w:pStyle w:val="12"/>
              <w:wordWrap w:val="0"/>
              <w:spacing w:line="440" w:lineRule="exact"/>
              <w:rPr>
                <w:rFonts w:hAnsi="宋体" w:cs="宋体"/>
                <w:color w:val="auto"/>
                <w:szCs w:val="21"/>
              </w:rPr>
            </w:pPr>
            <w:r>
              <w:rPr>
                <w:rFonts w:hint="eastAsia" w:hAnsi="宋体" w:cs="宋体"/>
                <w:color w:val="auto"/>
                <w:szCs w:val="21"/>
                <w:lang w:val="en-US" w:eastAsia="zh-CN"/>
              </w:rPr>
              <w:t>采购</w:t>
            </w:r>
            <w:r>
              <w:rPr>
                <w:rFonts w:hint="eastAsia" w:hAnsi="宋体" w:cs="宋体"/>
                <w:color w:val="auto"/>
                <w:szCs w:val="21"/>
              </w:rPr>
              <w:t>人名称：滁州开放大学</w:t>
            </w:r>
          </w:p>
          <w:p w14:paraId="30A0FDA4">
            <w:pPr>
              <w:autoSpaceDE w:val="0"/>
              <w:autoSpaceDN w:val="0"/>
              <w:adjustRightInd w:val="0"/>
              <w:spacing w:line="440" w:lineRule="exact"/>
              <w:jc w:val="left"/>
              <w:rPr>
                <w:rFonts w:hAnsi="宋体" w:cs="宋体"/>
                <w:color w:val="auto"/>
                <w:szCs w:val="21"/>
              </w:rPr>
            </w:pPr>
            <w:r>
              <w:rPr>
                <w:rFonts w:hint="eastAsia" w:ascii="宋体" w:hAnsi="宋体" w:cs="宋体"/>
                <w:color w:val="auto"/>
                <w:szCs w:val="21"/>
              </w:rPr>
              <w:t>联系人：</w:t>
            </w:r>
            <w:r>
              <w:rPr>
                <w:rFonts w:hint="eastAsia"/>
                <w:color w:val="auto"/>
                <w:szCs w:val="21"/>
                <w:lang w:val="en-US" w:eastAsia="zh-CN"/>
              </w:rPr>
              <w:t>徐老师</w:t>
            </w:r>
            <w:r>
              <w:rPr>
                <w:color w:val="auto"/>
                <w:szCs w:val="21"/>
              </w:rPr>
              <w:t xml:space="preserve"> </w:t>
            </w:r>
            <w:r>
              <w:rPr>
                <w:rFonts w:hint="eastAsia"/>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lang w:val="en-US" w:eastAsia="zh-CN"/>
              </w:rPr>
              <w:t>0550-</w:t>
            </w:r>
            <w:r>
              <w:rPr>
                <w:rFonts w:hint="eastAsia" w:ascii="宋体" w:hAnsi="宋体" w:cs="宋体"/>
                <w:color w:val="auto"/>
                <w:lang w:eastAsia="zh-CN"/>
              </w:rPr>
              <w:t>3025789</w:t>
            </w:r>
          </w:p>
        </w:tc>
      </w:tr>
      <w:tr w14:paraId="4A2CDE34">
        <w:tblPrEx>
          <w:tblCellMar>
            <w:top w:w="0" w:type="dxa"/>
            <w:left w:w="0" w:type="dxa"/>
            <w:bottom w:w="0" w:type="dxa"/>
            <w:right w:w="0" w:type="dxa"/>
          </w:tblCellMar>
        </w:tblPrEx>
        <w:trPr>
          <w:trHeight w:val="980"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40183C5B">
            <w:pPr>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1688" w:type="dxa"/>
            <w:tcBorders>
              <w:top w:val="single" w:color="auto" w:sz="8" w:space="0"/>
              <w:left w:val="single" w:color="auto" w:sz="4" w:space="0"/>
              <w:bottom w:val="single" w:color="auto" w:sz="8" w:space="0"/>
              <w:right w:val="single" w:color="auto" w:sz="4" w:space="0"/>
            </w:tcBorders>
            <w:vAlign w:val="center"/>
          </w:tcPr>
          <w:p w14:paraId="5E3339AA">
            <w:pPr>
              <w:pStyle w:val="12"/>
              <w:wordWrap w:val="0"/>
              <w:spacing w:line="440" w:lineRule="exact"/>
              <w:jc w:val="center"/>
              <w:rPr>
                <w:rFonts w:hAnsi="宋体" w:cs="宋体"/>
                <w:color w:val="auto"/>
                <w:kern w:val="0"/>
                <w:szCs w:val="21"/>
              </w:rPr>
            </w:pPr>
            <w:r>
              <w:rPr>
                <w:rFonts w:hint="eastAsia" w:hAnsi="宋体" w:cs="宋体"/>
                <w:color w:val="auto"/>
                <w:szCs w:val="21"/>
              </w:rPr>
              <w:t>代理机构联系人及电话</w:t>
            </w:r>
          </w:p>
        </w:tc>
        <w:tc>
          <w:tcPr>
            <w:tcW w:w="7827" w:type="dxa"/>
            <w:tcBorders>
              <w:top w:val="single" w:color="auto" w:sz="8" w:space="0"/>
              <w:left w:val="single" w:color="auto" w:sz="4" w:space="0"/>
              <w:bottom w:val="single" w:color="auto" w:sz="8" w:space="0"/>
              <w:right w:val="single" w:color="auto" w:sz="8" w:space="0"/>
            </w:tcBorders>
            <w:vAlign w:val="center"/>
          </w:tcPr>
          <w:p w14:paraId="61CCA9F2">
            <w:pPr>
              <w:spacing w:line="440" w:lineRule="exact"/>
              <w:jc w:val="left"/>
              <w:rPr>
                <w:rFonts w:ascii="宋体" w:hAnsi="宋体" w:cs="宋体"/>
                <w:color w:val="auto"/>
                <w:szCs w:val="21"/>
              </w:rPr>
            </w:pPr>
            <w:r>
              <w:rPr>
                <w:rFonts w:hint="eastAsia" w:ascii="宋体" w:hAnsi="宋体" w:cs="宋体"/>
                <w:color w:val="auto"/>
                <w:szCs w:val="21"/>
              </w:rPr>
              <w:t xml:space="preserve">招标代理机构名称：安徽广宇项目管理有限公司 </w:t>
            </w:r>
          </w:p>
          <w:p w14:paraId="3FD78338">
            <w:pPr>
              <w:pStyle w:val="12"/>
              <w:wordWrap w:val="0"/>
              <w:spacing w:line="440" w:lineRule="exact"/>
              <w:rPr>
                <w:rFonts w:hAnsi="宋体" w:cs="宋体"/>
                <w:color w:val="auto"/>
                <w:kern w:val="0"/>
                <w:szCs w:val="21"/>
              </w:rPr>
            </w:pPr>
            <w:r>
              <w:rPr>
                <w:rFonts w:hint="eastAsia" w:hAnsi="宋体" w:cs="宋体"/>
                <w:color w:val="auto"/>
                <w:szCs w:val="21"/>
              </w:rPr>
              <w:t>联系人：鲁晓燕</w:t>
            </w:r>
            <w:r>
              <w:rPr>
                <w:rFonts w:hint="eastAsia" w:hAnsi="宋体" w:cs="宋体"/>
                <w:color w:val="auto"/>
                <w:szCs w:val="21"/>
                <w:lang w:val="en-US" w:eastAsia="zh-CN"/>
              </w:rPr>
              <w:t xml:space="preserve">       </w:t>
            </w:r>
            <w:r>
              <w:rPr>
                <w:rFonts w:hint="eastAsia" w:hAnsi="宋体" w:cs="宋体"/>
                <w:color w:val="auto"/>
                <w:szCs w:val="21"/>
              </w:rPr>
              <w:t>电话：0550-3908889 、18055012300</w:t>
            </w:r>
          </w:p>
        </w:tc>
      </w:tr>
      <w:tr w14:paraId="24206EAF">
        <w:tblPrEx>
          <w:tblCellMar>
            <w:top w:w="0" w:type="dxa"/>
            <w:left w:w="0" w:type="dxa"/>
            <w:bottom w:w="0" w:type="dxa"/>
            <w:right w:w="0" w:type="dxa"/>
          </w:tblCellMar>
        </w:tblPrEx>
        <w:trPr>
          <w:trHeight w:val="44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26698821">
            <w:pPr>
              <w:pStyle w:val="21"/>
              <w:ind w:firstLine="0" w:firstLineChars="0"/>
              <w:jc w:val="center"/>
              <w:rPr>
                <w:rFonts w:hAnsi="宋体" w:cs="宋体"/>
                <w:color w:val="auto"/>
                <w:kern w:val="0"/>
                <w:sz w:val="21"/>
                <w:szCs w:val="21"/>
              </w:rPr>
            </w:pPr>
            <w:r>
              <w:rPr>
                <w:rFonts w:hint="eastAsia" w:hAnsi="宋体" w:cs="宋体"/>
                <w:color w:val="auto"/>
                <w:kern w:val="0"/>
                <w:sz w:val="21"/>
                <w:szCs w:val="21"/>
              </w:rPr>
              <w:t>7</w:t>
            </w:r>
          </w:p>
        </w:tc>
        <w:tc>
          <w:tcPr>
            <w:tcW w:w="1688" w:type="dxa"/>
            <w:tcBorders>
              <w:top w:val="single" w:color="auto" w:sz="8" w:space="0"/>
              <w:left w:val="single" w:color="auto" w:sz="4" w:space="0"/>
              <w:bottom w:val="single" w:color="auto" w:sz="8" w:space="0"/>
              <w:right w:val="single" w:color="auto" w:sz="4" w:space="0"/>
            </w:tcBorders>
            <w:vAlign w:val="center"/>
          </w:tcPr>
          <w:p w14:paraId="18370E65">
            <w:pPr>
              <w:pStyle w:val="12"/>
              <w:wordWrap w:val="0"/>
              <w:spacing w:line="440" w:lineRule="exact"/>
              <w:jc w:val="left"/>
              <w:rPr>
                <w:rFonts w:hAnsi="宋体" w:cs="宋体"/>
                <w:color w:val="auto"/>
                <w:szCs w:val="21"/>
              </w:rPr>
            </w:pPr>
            <w:r>
              <w:rPr>
                <w:rFonts w:hint="eastAsia" w:cs="宋体"/>
                <w:color w:val="auto"/>
                <w:szCs w:val="21"/>
              </w:rPr>
              <w:t>资金来源</w:t>
            </w:r>
          </w:p>
        </w:tc>
        <w:tc>
          <w:tcPr>
            <w:tcW w:w="7827" w:type="dxa"/>
            <w:tcBorders>
              <w:top w:val="single" w:color="auto" w:sz="8" w:space="0"/>
              <w:left w:val="single" w:color="auto" w:sz="4" w:space="0"/>
              <w:bottom w:val="single" w:color="auto" w:sz="8" w:space="0"/>
              <w:right w:val="single" w:color="auto" w:sz="8" w:space="0"/>
            </w:tcBorders>
            <w:vAlign w:val="center"/>
          </w:tcPr>
          <w:p w14:paraId="43AB4D2A">
            <w:pPr>
              <w:pStyle w:val="12"/>
              <w:wordWrap w:val="0"/>
              <w:spacing w:line="440" w:lineRule="exact"/>
              <w:rPr>
                <w:rFonts w:hAnsi="宋体" w:cs="宋体"/>
                <w:color w:val="auto"/>
                <w:szCs w:val="21"/>
              </w:rPr>
            </w:pPr>
            <w:r>
              <w:rPr>
                <w:rFonts w:hint="eastAsia" w:cs="宋体"/>
                <w:color w:val="auto"/>
                <w:szCs w:val="21"/>
              </w:rPr>
              <w:t>财政资金</w:t>
            </w:r>
          </w:p>
        </w:tc>
      </w:tr>
      <w:tr w14:paraId="739BC6E1">
        <w:tblPrEx>
          <w:tblCellMar>
            <w:top w:w="0" w:type="dxa"/>
            <w:left w:w="0" w:type="dxa"/>
            <w:bottom w:w="0" w:type="dxa"/>
            <w:right w:w="0" w:type="dxa"/>
          </w:tblCellMar>
        </w:tblPrEx>
        <w:trPr>
          <w:trHeight w:val="44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6C3EE374">
            <w:pPr>
              <w:pStyle w:val="21"/>
              <w:ind w:firstLine="0" w:firstLineChars="0"/>
              <w:jc w:val="center"/>
              <w:rPr>
                <w:rFonts w:hAnsi="宋体" w:cs="宋体"/>
                <w:color w:val="auto"/>
                <w:kern w:val="0"/>
                <w:sz w:val="21"/>
                <w:szCs w:val="21"/>
              </w:rPr>
            </w:pPr>
            <w:r>
              <w:rPr>
                <w:rFonts w:hint="eastAsia" w:hAnsi="宋体" w:cs="宋体"/>
                <w:color w:val="auto"/>
                <w:kern w:val="0"/>
                <w:sz w:val="21"/>
                <w:szCs w:val="21"/>
              </w:rPr>
              <w:t>8</w:t>
            </w:r>
          </w:p>
        </w:tc>
        <w:tc>
          <w:tcPr>
            <w:tcW w:w="1688" w:type="dxa"/>
            <w:tcBorders>
              <w:top w:val="single" w:color="auto" w:sz="8" w:space="0"/>
              <w:left w:val="single" w:color="auto" w:sz="4" w:space="0"/>
              <w:bottom w:val="single" w:color="auto" w:sz="8" w:space="0"/>
              <w:right w:val="single" w:color="auto" w:sz="4" w:space="0"/>
            </w:tcBorders>
            <w:vAlign w:val="center"/>
          </w:tcPr>
          <w:p w14:paraId="6EE24A04">
            <w:pPr>
              <w:pStyle w:val="12"/>
              <w:wordWrap w:val="0"/>
              <w:spacing w:line="440" w:lineRule="exact"/>
              <w:jc w:val="left"/>
              <w:rPr>
                <w:rFonts w:hAnsi="宋体" w:cs="宋体"/>
                <w:color w:val="auto"/>
                <w:szCs w:val="21"/>
              </w:rPr>
            </w:pPr>
            <w:r>
              <w:rPr>
                <w:rFonts w:hint="eastAsia" w:cs="宋体"/>
                <w:color w:val="auto"/>
                <w:szCs w:val="21"/>
              </w:rPr>
              <w:t>采购预算</w:t>
            </w:r>
          </w:p>
        </w:tc>
        <w:tc>
          <w:tcPr>
            <w:tcW w:w="7827" w:type="dxa"/>
            <w:tcBorders>
              <w:top w:val="single" w:color="auto" w:sz="8" w:space="0"/>
              <w:left w:val="single" w:color="auto" w:sz="4" w:space="0"/>
              <w:bottom w:val="single" w:color="auto" w:sz="8" w:space="0"/>
              <w:right w:val="single" w:color="auto" w:sz="8" w:space="0"/>
            </w:tcBorders>
            <w:vAlign w:val="center"/>
          </w:tcPr>
          <w:p w14:paraId="032D36C9">
            <w:pPr>
              <w:pStyle w:val="12"/>
              <w:wordWrap w:val="0"/>
              <w:spacing w:line="440" w:lineRule="exact"/>
              <w:rPr>
                <w:rFonts w:hAnsi="宋体" w:cs="宋体"/>
                <w:color w:val="auto"/>
                <w:szCs w:val="21"/>
              </w:rPr>
            </w:pPr>
            <w:r>
              <w:rPr>
                <w:rFonts w:hint="eastAsia" w:cs="宋体"/>
                <w:color w:val="auto"/>
                <w:szCs w:val="21"/>
                <w:lang w:val="en-US" w:eastAsia="zh-CN"/>
              </w:rPr>
              <w:t>50000.00</w:t>
            </w:r>
            <w:r>
              <w:rPr>
                <w:rFonts w:hint="eastAsia" w:cs="宋体"/>
                <w:color w:val="auto"/>
                <w:szCs w:val="21"/>
              </w:rPr>
              <w:t>元</w:t>
            </w:r>
          </w:p>
        </w:tc>
      </w:tr>
      <w:tr w14:paraId="24DEF046">
        <w:tblPrEx>
          <w:tblCellMar>
            <w:top w:w="0" w:type="dxa"/>
            <w:left w:w="0" w:type="dxa"/>
            <w:bottom w:w="0" w:type="dxa"/>
            <w:right w:w="0" w:type="dxa"/>
          </w:tblCellMar>
        </w:tblPrEx>
        <w:trPr>
          <w:trHeight w:val="190"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48072616">
            <w:pPr>
              <w:spacing w:line="440" w:lineRule="exact"/>
              <w:jc w:val="center"/>
              <w:rPr>
                <w:rFonts w:ascii="宋体" w:hAnsi="宋体" w:cs="宋体"/>
                <w:color w:val="auto"/>
                <w:kern w:val="0"/>
                <w:szCs w:val="21"/>
              </w:rPr>
            </w:pPr>
            <w:r>
              <w:rPr>
                <w:rFonts w:hint="eastAsia" w:ascii="宋体" w:hAnsi="宋体" w:cs="宋体"/>
                <w:color w:val="auto"/>
                <w:kern w:val="0"/>
                <w:szCs w:val="21"/>
              </w:rPr>
              <w:t>9</w:t>
            </w:r>
          </w:p>
        </w:tc>
        <w:tc>
          <w:tcPr>
            <w:tcW w:w="1688" w:type="dxa"/>
            <w:tcBorders>
              <w:top w:val="single" w:color="auto" w:sz="8" w:space="0"/>
              <w:left w:val="single" w:color="auto" w:sz="4" w:space="0"/>
              <w:bottom w:val="single" w:color="auto" w:sz="8" w:space="0"/>
              <w:right w:val="single" w:color="auto" w:sz="4" w:space="0"/>
            </w:tcBorders>
            <w:vAlign w:val="center"/>
          </w:tcPr>
          <w:p w14:paraId="271375B7">
            <w:pPr>
              <w:pStyle w:val="12"/>
              <w:wordWrap w:val="0"/>
              <w:spacing w:line="440" w:lineRule="exact"/>
              <w:jc w:val="center"/>
              <w:rPr>
                <w:rFonts w:hAnsi="宋体" w:cs="宋体"/>
                <w:color w:val="auto"/>
                <w:kern w:val="0"/>
                <w:szCs w:val="21"/>
              </w:rPr>
            </w:pPr>
            <w:r>
              <w:rPr>
                <w:rFonts w:hint="eastAsia" w:hAnsi="宋体" w:cs="宋体"/>
                <w:color w:val="auto"/>
                <w:szCs w:val="21"/>
              </w:rPr>
              <w:t>采购需求</w:t>
            </w:r>
          </w:p>
        </w:tc>
        <w:tc>
          <w:tcPr>
            <w:tcW w:w="7827" w:type="dxa"/>
            <w:tcBorders>
              <w:top w:val="single" w:color="auto" w:sz="8" w:space="0"/>
              <w:left w:val="single" w:color="auto" w:sz="4" w:space="0"/>
              <w:bottom w:val="single" w:color="auto" w:sz="8" w:space="0"/>
              <w:right w:val="single" w:color="auto" w:sz="8" w:space="0"/>
            </w:tcBorders>
            <w:vAlign w:val="center"/>
          </w:tcPr>
          <w:p w14:paraId="22564273">
            <w:pPr>
              <w:pStyle w:val="12"/>
              <w:wordWrap w:val="0"/>
              <w:spacing w:line="440" w:lineRule="exact"/>
              <w:rPr>
                <w:rFonts w:hAnsi="宋体" w:cs="宋体"/>
                <w:color w:val="auto"/>
                <w:kern w:val="0"/>
                <w:szCs w:val="21"/>
              </w:rPr>
            </w:pPr>
            <w:r>
              <w:rPr>
                <w:rFonts w:hint="eastAsia" w:hAnsi="宋体" w:cs="宋体"/>
                <w:color w:val="auto"/>
                <w:szCs w:val="21"/>
              </w:rPr>
              <w:t>具体详见招标文件第</w:t>
            </w:r>
            <w:r>
              <w:rPr>
                <w:rFonts w:hint="eastAsia" w:hAnsi="宋体" w:cs="宋体"/>
                <w:color w:val="auto"/>
                <w:szCs w:val="21"/>
                <w:highlight w:val="none"/>
              </w:rPr>
              <w:t>四章《采购需求及服务要求》</w:t>
            </w:r>
          </w:p>
        </w:tc>
      </w:tr>
      <w:tr w14:paraId="287406D7">
        <w:tblPrEx>
          <w:tblCellMar>
            <w:top w:w="0" w:type="dxa"/>
            <w:left w:w="0" w:type="dxa"/>
            <w:bottom w:w="0" w:type="dxa"/>
            <w:right w:w="0" w:type="dxa"/>
          </w:tblCellMar>
        </w:tblPrEx>
        <w:trPr>
          <w:trHeight w:val="229"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7F55EF2E">
            <w:pPr>
              <w:spacing w:line="440" w:lineRule="exact"/>
              <w:jc w:val="center"/>
              <w:rPr>
                <w:rFonts w:ascii="宋体" w:hAnsi="宋体" w:cs="宋体"/>
                <w:color w:val="auto"/>
                <w:kern w:val="0"/>
                <w:szCs w:val="21"/>
              </w:rPr>
            </w:pPr>
            <w:r>
              <w:rPr>
                <w:rFonts w:hint="eastAsia" w:ascii="宋体" w:hAnsi="宋体" w:cs="宋体"/>
                <w:color w:val="auto"/>
                <w:kern w:val="0"/>
                <w:szCs w:val="21"/>
              </w:rPr>
              <w:t>10</w:t>
            </w:r>
          </w:p>
        </w:tc>
        <w:tc>
          <w:tcPr>
            <w:tcW w:w="1688" w:type="dxa"/>
            <w:tcBorders>
              <w:top w:val="single" w:color="auto" w:sz="8" w:space="0"/>
              <w:left w:val="single" w:color="auto" w:sz="4" w:space="0"/>
              <w:bottom w:val="single" w:color="auto" w:sz="8" w:space="0"/>
              <w:right w:val="single" w:color="auto" w:sz="4" w:space="0"/>
            </w:tcBorders>
            <w:vAlign w:val="center"/>
          </w:tcPr>
          <w:p w14:paraId="26B727FD">
            <w:pPr>
              <w:pStyle w:val="12"/>
              <w:wordWrap w:val="0"/>
              <w:spacing w:line="440" w:lineRule="exact"/>
              <w:jc w:val="center"/>
              <w:rPr>
                <w:rFonts w:hAnsi="宋体" w:cs="宋体"/>
                <w:color w:val="auto"/>
                <w:kern w:val="0"/>
                <w:szCs w:val="21"/>
              </w:rPr>
            </w:pPr>
            <w:r>
              <w:rPr>
                <w:rFonts w:hint="eastAsia" w:hAnsi="宋体" w:cs="宋体"/>
                <w:color w:val="auto"/>
                <w:szCs w:val="21"/>
              </w:rPr>
              <w:t>招标方式</w:t>
            </w:r>
          </w:p>
        </w:tc>
        <w:tc>
          <w:tcPr>
            <w:tcW w:w="7827" w:type="dxa"/>
            <w:tcBorders>
              <w:top w:val="single" w:color="auto" w:sz="8" w:space="0"/>
              <w:left w:val="single" w:color="auto" w:sz="4" w:space="0"/>
              <w:bottom w:val="single" w:color="auto" w:sz="8" w:space="0"/>
              <w:right w:val="single" w:color="auto" w:sz="8" w:space="0"/>
            </w:tcBorders>
            <w:vAlign w:val="center"/>
          </w:tcPr>
          <w:p w14:paraId="351A2819">
            <w:pPr>
              <w:pStyle w:val="12"/>
              <w:wordWrap w:val="0"/>
              <w:spacing w:line="440" w:lineRule="exact"/>
              <w:rPr>
                <w:rFonts w:hAnsi="宋体" w:cs="宋体"/>
                <w:color w:val="auto"/>
                <w:kern w:val="0"/>
                <w:szCs w:val="21"/>
              </w:rPr>
            </w:pPr>
            <w:r>
              <w:rPr>
                <w:rFonts w:hint="eastAsia" w:hAnsi="宋体" w:cs="宋体"/>
                <w:color w:val="auto"/>
                <w:szCs w:val="21"/>
              </w:rPr>
              <w:t>公开招标</w:t>
            </w:r>
          </w:p>
        </w:tc>
      </w:tr>
      <w:tr w14:paraId="3CC65C1D">
        <w:tblPrEx>
          <w:tblCellMar>
            <w:top w:w="0" w:type="dxa"/>
            <w:left w:w="0" w:type="dxa"/>
            <w:bottom w:w="0" w:type="dxa"/>
            <w:right w:w="0" w:type="dxa"/>
          </w:tblCellMar>
        </w:tblPrEx>
        <w:trPr>
          <w:trHeight w:val="439"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0E55E53B">
            <w:pPr>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1688" w:type="dxa"/>
            <w:tcBorders>
              <w:top w:val="single" w:color="auto" w:sz="8" w:space="0"/>
              <w:left w:val="single" w:color="auto" w:sz="4" w:space="0"/>
              <w:bottom w:val="single" w:color="auto" w:sz="8" w:space="0"/>
              <w:right w:val="single" w:color="auto" w:sz="4" w:space="0"/>
            </w:tcBorders>
            <w:vAlign w:val="center"/>
          </w:tcPr>
          <w:p w14:paraId="2995405F">
            <w:pPr>
              <w:spacing w:line="440" w:lineRule="exact"/>
              <w:ind w:left="1470" w:hanging="1470" w:hangingChars="700"/>
              <w:jc w:val="center"/>
              <w:rPr>
                <w:rFonts w:ascii="宋体" w:hAnsi="宋体" w:cs="宋体"/>
                <w:color w:val="auto"/>
                <w:kern w:val="0"/>
                <w:szCs w:val="21"/>
              </w:rPr>
            </w:pPr>
            <w:r>
              <w:rPr>
                <w:rFonts w:hint="eastAsia" w:ascii="宋体" w:hAnsi="宋体" w:cs="宋体"/>
                <w:color w:val="auto"/>
                <w:kern w:val="0"/>
                <w:szCs w:val="21"/>
              </w:rPr>
              <w:t>供应商资质</w:t>
            </w:r>
          </w:p>
          <w:p w14:paraId="59385745">
            <w:pPr>
              <w:spacing w:line="440" w:lineRule="exact"/>
              <w:ind w:left="1470" w:hanging="1470" w:hangingChars="700"/>
              <w:jc w:val="center"/>
              <w:rPr>
                <w:rFonts w:ascii="宋体" w:hAnsi="宋体" w:cs="宋体"/>
                <w:color w:val="auto"/>
                <w:kern w:val="0"/>
                <w:szCs w:val="21"/>
              </w:rPr>
            </w:pPr>
            <w:r>
              <w:rPr>
                <w:rFonts w:hint="eastAsia" w:ascii="宋体" w:hAnsi="宋体" w:cs="宋体"/>
                <w:color w:val="auto"/>
                <w:kern w:val="0"/>
                <w:szCs w:val="21"/>
              </w:rPr>
              <w:t>要求</w:t>
            </w:r>
          </w:p>
        </w:tc>
        <w:tc>
          <w:tcPr>
            <w:tcW w:w="7827" w:type="dxa"/>
            <w:tcBorders>
              <w:top w:val="single" w:color="auto" w:sz="8" w:space="0"/>
              <w:left w:val="single" w:color="auto" w:sz="4" w:space="0"/>
              <w:bottom w:val="single" w:color="auto" w:sz="8" w:space="0"/>
              <w:right w:val="single" w:color="auto" w:sz="8" w:space="0"/>
            </w:tcBorders>
            <w:vAlign w:val="center"/>
          </w:tcPr>
          <w:p w14:paraId="0F73C42B">
            <w:pPr>
              <w:spacing w:line="440" w:lineRule="exact"/>
              <w:rPr>
                <w:rFonts w:ascii="宋体" w:hAnsi="宋体" w:cs="宋体"/>
                <w:color w:val="auto"/>
                <w:kern w:val="0"/>
                <w:szCs w:val="21"/>
              </w:rPr>
            </w:pPr>
            <w:r>
              <w:rPr>
                <w:rFonts w:hint="eastAsia" w:ascii="宋体" w:hAnsi="宋体" w:cs="宋体"/>
                <w:color w:val="auto"/>
                <w:kern w:val="0"/>
                <w:szCs w:val="21"/>
              </w:rPr>
              <w:t>1、符合《中华人民共和国政府采购法》第二十二条规定；</w:t>
            </w:r>
          </w:p>
          <w:p w14:paraId="0080B50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本项目的特定资格要求：供应商具有独立法人资格，具有有效的营业执照、组织机构代码证、税务登记证（或三证合一证书）。</w:t>
            </w:r>
          </w:p>
          <w:p w14:paraId="6DD35F7D">
            <w:pPr>
              <w:spacing w:line="440" w:lineRule="exact"/>
              <w:rPr>
                <w:rFonts w:ascii="宋体" w:hAnsi="宋体" w:cs="宋体"/>
                <w:color w:val="auto"/>
                <w:kern w:val="0"/>
                <w:szCs w:val="21"/>
              </w:rPr>
            </w:pPr>
            <w:r>
              <w:rPr>
                <w:rFonts w:hint="eastAsia" w:ascii="宋体" w:hAnsi="宋体" w:cs="宋体"/>
                <w:color w:val="auto"/>
                <w:kern w:val="0"/>
                <w:szCs w:val="21"/>
              </w:rPr>
              <w:t>3.信誉要求：投标人不得存在以下情形：</w:t>
            </w:r>
          </w:p>
          <w:p w14:paraId="4F1B9F71">
            <w:pPr>
              <w:spacing w:line="440" w:lineRule="exact"/>
              <w:rPr>
                <w:rFonts w:ascii="宋体" w:hAnsi="宋体" w:cs="宋体"/>
                <w:color w:val="auto"/>
                <w:kern w:val="0"/>
                <w:szCs w:val="21"/>
              </w:rPr>
            </w:pPr>
            <w:r>
              <w:rPr>
                <w:rFonts w:hint="eastAsia" w:ascii="宋体" w:hAnsi="宋体" w:cs="宋体"/>
                <w:color w:val="auto"/>
                <w:kern w:val="0"/>
                <w:szCs w:val="21"/>
              </w:rPr>
              <w:t>①投标人被人民法院列入失信被执行人的；</w:t>
            </w:r>
          </w:p>
          <w:p w14:paraId="42C7AD7A">
            <w:pPr>
              <w:spacing w:line="440" w:lineRule="exact"/>
              <w:rPr>
                <w:rFonts w:ascii="宋体" w:hAnsi="宋体" w:cs="宋体"/>
                <w:color w:val="auto"/>
                <w:kern w:val="0"/>
                <w:szCs w:val="21"/>
              </w:rPr>
            </w:pPr>
            <w:r>
              <w:rPr>
                <w:rFonts w:hint="eastAsia" w:ascii="宋体" w:hAnsi="宋体" w:cs="宋体"/>
                <w:color w:val="auto"/>
                <w:kern w:val="0"/>
                <w:szCs w:val="21"/>
              </w:rPr>
              <w:t>②投标人或其法定代表人或拟派项目负责人前三年有行贿犯罪行为的；</w:t>
            </w:r>
          </w:p>
          <w:p w14:paraId="022B06C8">
            <w:pPr>
              <w:spacing w:line="440" w:lineRule="exact"/>
              <w:rPr>
                <w:rFonts w:ascii="宋体" w:hAnsi="宋体" w:cs="宋体"/>
                <w:color w:val="auto"/>
                <w:kern w:val="0"/>
                <w:szCs w:val="21"/>
              </w:rPr>
            </w:pPr>
            <w:r>
              <w:rPr>
                <w:rFonts w:hint="eastAsia" w:ascii="宋体" w:hAnsi="宋体" w:cs="宋体"/>
                <w:color w:val="auto"/>
                <w:kern w:val="0"/>
                <w:szCs w:val="21"/>
              </w:rPr>
              <w:t>③投标人被市场监督管理部门列入经营异常名录或者严重违法企业名单的；</w:t>
            </w:r>
          </w:p>
          <w:p w14:paraId="498E2E11">
            <w:pPr>
              <w:spacing w:line="440" w:lineRule="exact"/>
              <w:rPr>
                <w:rFonts w:ascii="宋体" w:hAnsi="宋体" w:cs="宋体"/>
                <w:color w:val="auto"/>
                <w:kern w:val="0"/>
                <w:szCs w:val="21"/>
              </w:rPr>
            </w:pPr>
            <w:r>
              <w:rPr>
                <w:rFonts w:hint="eastAsia" w:ascii="宋体" w:hAnsi="宋体" w:cs="宋体"/>
                <w:color w:val="auto"/>
                <w:kern w:val="0"/>
                <w:szCs w:val="21"/>
              </w:rPr>
              <w:t>④投标人被税务部门列入重大税收违法案件当事人的；</w:t>
            </w:r>
          </w:p>
          <w:p w14:paraId="24EEA139">
            <w:pPr>
              <w:spacing w:line="440" w:lineRule="exact"/>
              <w:rPr>
                <w:rFonts w:ascii="宋体" w:hAnsi="宋体" w:cs="宋体"/>
                <w:color w:val="auto"/>
                <w:kern w:val="0"/>
                <w:szCs w:val="21"/>
              </w:rPr>
            </w:pPr>
            <w:r>
              <w:rPr>
                <w:rFonts w:hint="eastAsia" w:ascii="宋体" w:hAnsi="宋体" w:cs="宋体"/>
                <w:color w:val="auto"/>
                <w:kern w:val="0"/>
                <w:szCs w:val="21"/>
              </w:rPr>
              <w:t>⑤投标人被采购监管部门列入采购严重违法失信行为记录名单的；</w:t>
            </w:r>
          </w:p>
          <w:p w14:paraId="05778270">
            <w:pPr>
              <w:spacing w:line="440" w:lineRule="exact"/>
              <w:rPr>
                <w:rFonts w:ascii="宋体" w:hAnsi="宋体" w:cs="宋体"/>
                <w:color w:val="auto"/>
                <w:kern w:val="0"/>
                <w:szCs w:val="21"/>
              </w:rPr>
            </w:pPr>
            <w:r>
              <w:rPr>
                <w:rFonts w:hint="eastAsia" w:ascii="宋体" w:hAnsi="宋体" w:cs="宋体"/>
                <w:color w:val="auto"/>
                <w:kern w:val="0"/>
                <w:szCs w:val="21"/>
              </w:rPr>
              <w:t>⑥在“信用中国”网站上披露仍在公示期的严重失信行为的；</w:t>
            </w:r>
          </w:p>
        </w:tc>
      </w:tr>
      <w:tr w14:paraId="5F1311A4">
        <w:tblPrEx>
          <w:tblCellMar>
            <w:top w:w="0" w:type="dxa"/>
            <w:left w:w="0" w:type="dxa"/>
            <w:bottom w:w="0" w:type="dxa"/>
            <w:right w:w="0" w:type="dxa"/>
          </w:tblCellMar>
        </w:tblPrEx>
        <w:trPr>
          <w:trHeight w:val="413"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11DAF6D4">
            <w:pPr>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1688" w:type="dxa"/>
            <w:tcBorders>
              <w:top w:val="single" w:color="auto" w:sz="8" w:space="0"/>
              <w:left w:val="single" w:color="auto" w:sz="4" w:space="0"/>
              <w:bottom w:val="single" w:color="auto" w:sz="8" w:space="0"/>
              <w:right w:val="single" w:color="auto" w:sz="4" w:space="0"/>
            </w:tcBorders>
            <w:vAlign w:val="bottom"/>
          </w:tcPr>
          <w:p w14:paraId="307ED4D1">
            <w:pPr>
              <w:pStyle w:val="13"/>
              <w:spacing w:line="4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投标文件份数</w:t>
            </w:r>
          </w:p>
        </w:tc>
        <w:tc>
          <w:tcPr>
            <w:tcW w:w="7827" w:type="dxa"/>
            <w:tcBorders>
              <w:top w:val="single" w:color="auto" w:sz="8" w:space="0"/>
              <w:left w:val="single" w:color="auto" w:sz="4" w:space="0"/>
              <w:bottom w:val="single" w:color="auto" w:sz="8" w:space="0"/>
              <w:right w:val="single" w:color="auto" w:sz="8" w:space="0"/>
            </w:tcBorders>
            <w:vAlign w:val="center"/>
          </w:tcPr>
          <w:p w14:paraId="7D1889F9">
            <w:pPr>
              <w:pStyle w:val="13"/>
              <w:spacing w:line="4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正本</w:t>
            </w:r>
            <w:r>
              <w:rPr>
                <w:rFonts w:hint="eastAsia" w:ascii="宋体" w:hAnsi="宋体" w:eastAsia="宋体" w:cs="宋体"/>
                <w:color w:val="auto"/>
                <w:kern w:val="0"/>
                <w:sz w:val="21"/>
                <w:szCs w:val="21"/>
                <w:u w:val="single"/>
              </w:rPr>
              <w:t xml:space="preserve"> 一 </w:t>
            </w:r>
            <w:r>
              <w:rPr>
                <w:rFonts w:hint="eastAsia" w:ascii="宋体" w:hAnsi="宋体" w:eastAsia="宋体" w:cs="宋体"/>
                <w:color w:val="auto"/>
                <w:kern w:val="0"/>
                <w:sz w:val="21"/>
                <w:szCs w:val="21"/>
              </w:rPr>
              <w:t>份，副本</w:t>
            </w:r>
            <w:r>
              <w:rPr>
                <w:rFonts w:hint="eastAsia" w:ascii="宋体" w:hAnsi="宋体" w:eastAsia="宋体" w:cs="宋体"/>
                <w:color w:val="auto"/>
                <w:kern w:val="0"/>
                <w:sz w:val="21"/>
                <w:szCs w:val="21"/>
                <w:u w:val="single"/>
              </w:rPr>
              <w:t xml:space="preserve"> 二 </w:t>
            </w:r>
            <w:r>
              <w:rPr>
                <w:rFonts w:hint="eastAsia" w:ascii="宋体" w:hAnsi="宋体" w:eastAsia="宋体" w:cs="宋体"/>
                <w:color w:val="auto"/>
                <w:kern w:val="0"/>
                <w:sz w:val="21"/>
                <w:szCs w:val="21"/>
              </w:rPr>
              <w:t>份。</w:t>
            </w:r>
          </w:p>
        </w:tc>
      </w:tr>
      <w:tr w14:paraId="3CC6EFFD">
        <w:tblPrEx>
          <w:tblCellMar>
            <w:top w:w="0" w:type="dxa"/>
            <w:left w:w="0" w:type="dxa"/>
            <w:bottom w:w="0" w:type="dxa"/>
            <w:right w:w="0" w:type="dxa"/>
          </w:tblCellMar>
        </w:tblPrEx>
        <w:trPr>
          <w:trHeight w:val="90"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10067FB5">
            <w:pPr>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1688" w:type="dxa"/>
            <w:tcBorders>
              <w:top w:val="single" w:color="auto" w:sz="8" w:space="0"/>
              <w:left w:val="single" w:color="auto" w:sz="4" w:space="0"/>
              <w:bottom w:val="single" w:color="auto" w:sz="8" w:space="0"/>
              <w:right w:val="single" w:color="auto" w:sz="4" w:space="0"/>
            </w:tcBorders>
            <w:vAlign w:val="center"/>
          </w:tcPr>
          <w:p w14:paraId="407E75F3">
            <w:pPr>
              <w:spacing w:line="440" w:lineRule="exact"/>
              <w:jc w:val="center"/>
              <w:rPr>
                <w:rFonts w:ascii="宋体" w:hAnsi="宋体" w:cs="宋体"/>
                <w:color w:val="auto"/>
                <w:kern w:val="0"/>
                <w:szCs w:val="21"/>
              </w:rPr>
            </w:pPr>
            <w:r>
              <w:rPr>
                <w:rFonts w:hint="eastAsia" w:ascii="宋体" w:hAnsi="宋体" w:cs="宋体"/>
                <w:color w:val="auto"/>
                <w:kern w:val="0"/>
                <w:szCs w:val="21"/>
              </w:rPr>
              <w:t>勘察现场</w:t>
            </w:r>
          </w:p>
        </w:tc>
        <w:tc>
          <w:tcPr>
            <w:tcW w:w="7827" w:type="dxa"/>
            <w:tcBorders>
              <w:top w:val="single" w:color="auto" w:sz="8" w:space="0"/>
              <w:left w:val="single" w:color="auto" w:sz="4" w:space="0"/>
              <w:bottom w:val="single" w:color="auto" w:sz="8" w:space="0"/>
              <w:right w:val="single" w:color="auto" w:sz="8" w:space="0"/>
            </w:tcBorders>
            <w:vAlign w:val="center"/>
          </w:tcPr>
          <w:p w14:paraId="684466A6">
            <w:pPr>
              <w:spacing w:line="440" w:lineRule="exact"/>
              <w:rPr>
                <w:rFonts w:ascii="宋体" w:hAnsi="宋体" w:cs="宋体"/>
                <w:color w:val="auto"/>
                <w:kern w:val="0"/>
                <w:szCs w:val="21"/>
                <w:u w:val="single"/>
              </w:rPr>
            </w:pPr>
            <w:r>
              <w:rPr>
                <w:rFonts w:hint="eastAsia" w:ascii="宋体" w:hAnsi="宋体" w:cs="宋体"/>
                <w:color w:val="auto"/>
                <w:kern w:val="0"/>
                <w:szCs w:val="21"/>
              </w:rPr>
              <w:t>不再集中召开招标答疑会；供应商自行组织勘察现场。</w:t>
            </w:r>
          </w:p>
        </w:tc>
      </w:tr>
      <w:tr w14:paraId="43194786">
        <w:tblPrEx>
          <w:tblCellMar>
            <w:top w:w="0" w:type="dxa"/>
            <w:left w:w="0" w:type="dxa"/>
            <w:bottom w:w="0" w:type="dxa"/>
            <w:right w:w="0" w:type="dxa"/>
          </w:tblCellMar>
        </w:tblPrEx>
        <w:trPr>
          <w:trHeight w:val="90"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51843564">
            <w:pPr>
              <w:spacing w:line="440" w:lineRule="exact"/>
              <w:jc w:val="center"/>
              <w:rPr>
                <w:rFonts w:ascii="宋体" w:hAnsi="宋体" w:cs="宋体"/>
                <w:color w:val="auto"/>
                <w:kern w:val="0"/>
                <w:szCs w:val="21"/>
              </w:rPr>
            </w:pPr>
            <w:r>
              <w:rPr>
                <w:rFonts w:hint="eastAsia" w:ascii="宋体" w:hAnsi="宋体" w:cs="宋体"/>
                <w:color w:val="auto"/>
                <w:kern w:val="0"/>
                <w:szCs w:val="21"/>
              </w:rPr>
              <w:t>7</w:t>
            </w:r>
          </w:p>
        </w:tc>
        <w:tc>
          <w:tcPr>
            <w:tcW w:w="1688" w:type="dxa"/>
            <w:tcBorders>
              <w:top w:val="single" w:color="auto" w:sz="8" w:space="0"/>
              <w:left w:val="single" w:color="auto" w:sz="4" w:space="0"/>
              <w:bottom w:val="single" w:color="auto" w:sz="8" w:space="0"/>
              <w:right w:val="single" w:color="auto" w:sz="4" w:space="0"/>
            </w:tcBorders>
            <w:vAlign w:val="center"/>
          </w:tcPr>
          <w:p w14:paraId="122214A1">
            <w:pPr>
              <w:spacing w:line="440" w:lineRule="exact"/>
              <w:jc w:val="center"/>
              <w:rPr>
                <w:rFonts w:ascii="宋体" w:hAnsi="宋体" w:cs="宋体"/>
                <w:color w:val="auto"/>
                <w:kern w:val="0"/>
                <w:szCs w:val="21"/>
              </w:rPr>
            </w:pPr>
            <w:r>
              <w:rPr>
                <w:rFonts w:hint="eastAsia" w:ascii="宋体" w:hAnsi="宋体" w:cs="宋体"/>
                <w:color w:val="auto"/>
                <w:kern w:val="0"/>
                <w:szCs w:val="21"/>
              </w:rPr>
              <w:t>质疑答疑</w:t>
            </w:r>
          </w:p>
        </w:tc>
        <w:tc>
          <w:tcPr>
            <w:tcW w:w="7827" w:type="dxa"/>
            <w:tcBorders>
              <w:top w:val="single" w:color="auto" w:sz="8" w:space="0"/>
              <w:left w:val="single" w:color="auto" w:sz="4" w:space="0"/>
              <w:bottom w:val="single" w:color="auto" w:sz="8" w:space="0"/>
              <w:right w:val="single" w:color="auto" w:sz="8" w:space="0"/>
            </w:tcBorders>
            <w:vAlign w:val="center"/>
          </w:tcPr>
          <w:p w14:paraId="0755A08F">
            <w:pPr>
              <w:spacing w:line="440" w:lineRule="exact"/>
              <w:rPr>
                <w:rFonts w:ascii="宋体" w:hAnsi="宋体" w:cs="宋体"/>
                <w:b/>
                <w:bCs/>
                <w:color w:val="auto"/>
                <w:szCs w:val="21"/>
              </w:rPr>
            </w:pPr>
            <w:r>
              <w:rPr>
                <w:rFonts w:hint="eastAsia" w:ascii="宋体" w:hAnsi="宋体" w:cs="宋体"/>
                <w:bCs/>
                <w:color w:val="auto"/>
                <w:szCs w:val="21"/>
              </w:rPr>
              <w:t>请于</w:t>
            </w:r>
            <w:r>
              <w:rPr>
                <w:rFonts w:hint="eastAsia" w:ascii="宋体" w:hAnsi="宋体" w:cs="宋体"/>
                <w:b/>
                <w:color w:val="auto"/>
                <w:szCs w:val="21"/>
              </w:rPr>
              <w:t>2024年</w:t>
            </w:r>
            <w:r>
              <w:rPr>
                <w:rFonts w:hint="eastAsia" w:ascii="宋体" w:hAnsi="宋体" w:cs="宋体"/>
                <w:b/>
                <w:color w:val="auto"/>
                <w:szCs w:val="21"/>
                <w:lang w:val="en-US" w:eastAsia="zh-CN"/>
              </w:rPr>
              <w:t xml:space="preserve"> 9</w:t>
            </w:r>
            <w:r>
              <w:rPr>
                <w:rFonts w:hint="eastAsia" w:ascii="宋体" w:hAnsi="宋体" w:cs="宋体"/>
                <w:b/>
                <w:color w:val="auto"/>
                <w:szCs w:val="21"/>
              </w:rPr>
              <w:t>月</w:t>
            </w:r>
            <w:r>
              <w:rPr>
                <w:rFonts w:hint="eastAsia" w:ascii="宋体" w:hAnsi="宋体" w:cs="宋体"/>
                <w:b/>
                <w:color w:val="auto"/>
                <w:szCs w:val="21"/>
                <w:lang w:val="en-US" w:eastAsia="zh-CN"/>
              </w:rPr>
              <w:t xml:space="preserve">23 </w:t>
            </w:r>
            <w:r>
              <w:rPr>
                <w:color w:val="auto"/>
              </w:rPr>
              <w:fldChar w:fldCharType="begin"/>
            </w:r>
            <w:r>
              <w:rPr>
                <w:color w:val="auto"/>
              </w:rPr>
              <w:instrText xml:space="preserve"> HYPERLINK "mailto:日17时前，将疑问以书面形式（加盖公章）送至滁州学院资产与设备处（会峰校区行政楼220）或以邮件的形式发送至(603727167@qq.com)邮箱，招标人将在2019年11月" </w:instrText>
            </w:r>
            <w:r>
              <w:rPr>
                <w:color w:val="auto"/>
              </w:rPr>
              <w:fldChar w:fldCharType="separate"/>
            </w:r>
            <w:r>
              <w:rPr>
                <w:rStyle w:val="25"/>
                <w:rFonts w:hint="eastAsia" w:ascii="宋体" w:hAnsi="宋体" w:cs="宋体"/>
                <w:b/>
                <w:color w:val="auto"/>
                <w:szCs w:val="21"/>
              </w:rPr>
              <w:t>日17时前</w:t>
            </w:r>
            <w:r>
              <w:rPr>
                <w:rStyle w:val="25"/>
                <w:rFonts w:hint="eastAsia" w:ascii="宋体" w:hAnsi="宋体" w:cs="宋体"/>
                <w:bCs/>
                <w:color w:val="auto"/>
                <w:szCs w:val="21"/>
              </w:rPr>
              <w:t>，将疑问以邮件的形式发送至(</w:t>
            </w:r>
            <w:r>
              <w:rPr>
                <w:rStyle w:val="25"/>
                <w:rFonts w:hint="eastAsia" w:ascii="宋体" w:hAnsi="宋体" w:cs="宋体"/>
                <w:bCs/>
                <w:color w:val="auto"/>
                <w:szCs w:val="21"/>
                <w:lang w:val="en-US" w:eastAsia="zh-CN"/>
              </w:rPr>
              <w:t>664228410</w:t>
            </w:r>
            <w:r>
              <w:rPr>
                <w:rStyle w:val="25"/>
                <w:rFonts w:hint="eastAsia" w:ascii="宋体" w:hAnsi="宋体" w:cs="宋体"/>
                <w:bCs/>
                <w:color w:val="auto"/>
                <w:szCs w:val="21"/>
              </w:rPr>
              <w:t>@qq.com)代理邮箱，采购人将在</w:t>
            </w:r>
            <w:r>
              <w:rPr>
                <w:rStyle w:val="25"/>
                <w:rFonts w:hint="eastAsia" w:ascii="宋体" w:hAnsi="宋体" w:cs="宋体"/>
                <w:b/>
                <w:color w:val="auto"/>
                <w:szCs w:val="21"/>
              </w:rPr>
              <w:t>2024年</w:t>
            </w:r>
            <w:r>
              <w:rPr>
                <w:rStyle w:val="25"/>
                <w:rFonts w:hint="eastAsia" w:ascii="宋体" w:hAnsi="宋体" w:cs="宋体"/>
                <w:b/>
                <w:color w:val="auto"/>
                <w:szCs w:val="21"/>
                <w:lang w:val="en-US" w:eastAsia="zh-CN"/>
              </w:rPr>
              <w:t xml:space="preserve"> 9</w:t>
            </w:r>
            <w:r>
              <w:rPr>
                <w:rStyle w:val="25"/>
                <w:rFonts w:hint="eastAsia" w:ascii="宋体" w:hAnsi="宋体" w:cs="宋体"/>
                <w:b/>
                <w:color w:val="auto"/>
                <w:szCs w:val="21"/>
              </w:rPr>
              <w:t>月</w:t>
            </w:r>
            <w:r>
              <w:rPr>
                <w:rStyle w:val="25"/>
                <w:rFonts w:hint="eastAsia" w:ascii="宋体" w:hAnsi="宋体" w:cs="宋体"/>
                <w:b/>
                <w:color w:val="auto"/>
                <w:szCs w:val="21"/>
              </w:rPr>
              <w:fldChar w:fldCharType="end"/>
            </w:r>
            <w:r>
              <w:rPr>
                <w:rStyle w:val="25"/>
                <w:rFonts w:hint="eastAsia" w:ascii="宋体" w:hAnsi="宋体" w:cs="宋体"/>
                <w:b/>
                <w:color w:val="auto"/>
                <w:szCs w:val="21"/>
                <w:lang w:val="en-US" w:eastAsia="zh-CN"/>
              </w:rPr>
              <w:t>24</w:t>
            </w:r>
            <w:r>
              <w:rPr>
                <w:rFonts w:hint="eastAsia" w:ascii="宋体" w:hAnsi="宋体" w:cs="宋体"/>
                <w:b/>
                <w:color w:val="auto"/>
                <w:szCs w:val="21"/>
              </w:rPr>
              <w:t>日1</w:t>
            </w:r>
            <w:r>
              <w:rPr>
                <w:rFonts w:hint="eastAsia" w:ascii="宋体" w:hAnsi="宋体" w:cs="宋体"/>
                <w:b/>
                <w:color w:val="auto"/>
                <w:szCs w:val="21"/>
                <w:lang w:val="en-US" w:eastAsia="zh-CN"/>
              </w:rPr>
              <w:t>2</w:t>
            </w:r>
            <w:r>
              <w:rPr>
                <w:rFonts w:hint="eastAsia" w:ascii="宋体" w:hAnsi="宋体" w:cs="宋体"/>
                <w:b/>
                <w:color w:val="auto"/>
                <w:szCs w:val="21"/>
              </w:rPr>
              <w:t>时前</w:t>
            </w:r>
            <w:r>
              <w:rPr>
                <w:rFonts w:hint="eastAsia" w:ascii="宋体" w:hAnsi="宋体" w:cs="宋体"/>
                <w:bCs/>
                <w:color w:val="auto"/>
                <w:szCs w:val="21"/>
              </w:rPr>
              <w:t>以澄清公告形式在</w:t>
            </w:r>
            <w:r>
              <w:rPr>
                <w:rFonts w:hint="eastAsia" w:ascii="宋体" w:hAnsi="宋体" w:cs="宋体"/>
                <w:b/>
                <w:bCs/>
                <w:color w:val="auto"/>
                <w:kern w:val="0"/>
                <w:szCs w:val="21"/>
              </w:rPr>
              <w:t>滁州开放大学（http://www.czou.ah.cn/）公告栏自行下载。</w:t>
            </w:r>
            <w:r>
              <w:rPr>
                <w:rFonts w:hint="eastAsia" w:ascii="宋体" w:hAnsi="宋体" w:cs="宋体"/>
                <w:bCs/>
                <w:color w:val="auto"/>
                <w:szCs w:val="21"/>
              </w:rPr>
              <w:t>请各潜在供应商注意查看有关澄清内容，如不及时查看造成后果由供应商自负。</w:t>
            </w:r>
          </w:p>
          <w:p w14:paraId="7D6288B4">
            <w:pPr>
              <w:widowControl/>
              <w:spacing w:line="440" w:lineRule="exact"/>
              <w:ind w:left="-15" w:leftChars="-7" w:right="-2" w:firstLine="15" w:firstLineChars="7"/>
              <w:jc w:val="left"/>
              <w:rPr>
                <w:rFonts w:ascii="宋体" w:hAnsi="宋体" w:cs="宋体"/>
                <w:color w:val="auto"/>
                <w:kern w:val="0"/>
                <w:szCs w:val="21"/>
              </w:rPr>
            </w:pPr>
            <w:r>
              <w:rPr>
                <w:rFonts w:hint="eastAsia" w:ascii="宋体" w:hAnsi="宋体" w:cs="宋体"/>
                <w:b/>
                <w:color w:val="auto"/>
                <w:szCs w:val="21"/>
              </w:rPr>
              <w:t>各投标单位请注意：</w:t>
            </w:r>
            <w:r>
              <w:rPr>
                <w:rFonts w:hint="eastAsia" w:ascii="宋体" w:hAnsi="宋体" w:cs="宋体"/>
                <w:bCs/>
                <w:color w:val="auto"/>
                <w:szCs w:val="21"/>
              </w:rPr>
              <w:t>采购代理机构对招标文件进行的澄清、更正或更改，将在网站上及时发布，该公告内容为招标文件的组成部分，对供应商具有同样约束力效力。供应商应主动上网查询。采购代理机构不承担供应商未及时关注相关信息引发的相关责任。</w:t>
            </w:r>
          </w:p>
        </w:tc>
      </w:tr>
      <w:tr w14:paraId="311E81F7">
        <w:tblPrEx>
          <w:tblCellMar>
            <w:top w:w="0" w:type="dxa"/>
            <w:left w:w="0" w:type="dxa"/>
            <w:bottom w:w="0" w:type="dxa"/>
            <w:right w:w="0" w:type="dxa"/>
          </w:tblCellMar>
        </w:tblPrEx>
        <w:trPr>
          <w:trHeight w:val="549"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358CD181">
            <w:pPr>
              <w:spacing w:line="440" w:lineRule="exact"/>
              <w:jc w:val="center"/>
              <w:rPr>
                <w:rFonts w:ascii="宋体" w:hAnsi="宋体" w:cs="宋体"/>
                <w:color w:val="auto"/>
                <w:kern w:val="0"/>
                <w:szCs w:val="21"/>
              </w:rPr>
            </w:pPr>
            <w:r>
              <w:rPr>
                <w:rFonts w:hint="eastAsia" w:ascii="宋体" w:hAnsi="宋体" w:cs="宋体"/>
                <w:color w:val="auto"/>
                <w:kern w:val="0"/>
                <w:szCs w:val="21"/>
              </w:rPr>
              <w:t>8</w:t>
            </w:r>
          </w:p>
        </w:tc>
        <w:tc>
          <w:tcPr>
            <w:tcW w:w="1688" w:type="dxa"/>
            <w:tcBorders>
              <w:top w:val="single" w:color="auto" w:sz="8" w:space="0"/>
              <w:left w:val="single" w:color="auto" w:sz="4" w:space="0"/>
              <w:bottom w:val="single" w:color="auto" w:sz="8" w:space="0"/>
              <w:right w:val="single" w:color="auto" w:sz="4" w:space="0"/>
            </w:tcBorders>
            <w:vAlign w:val="center"/>
          </w:tcPr>
          <w:p w14:paraId="60DA90B1">
            <w:pPr>
              <w:spacing w:line="440" w:lineRule="exact"/>
              <w:jc w:val="center"/>
              <w:rPr>
                <w:rFonts w:ascii="宋体" w:hAnsi="宋体" w:cs="宋体"/>
                <w:color w:val="auto"/>
                <w:kern w:val="0"/>
                <w:szCs w:val="21"/>
              </w:rPr>
            </w:pPr>
            <w:r>
              <w:rPr>
                <w:rFonts w:hint="eastAsia" w:ascii="宋体" w:hAnsi="宋体" w:cs="宋体"/>
                <w:color w:val="auto"/>
                <w:kern w:val="0"/>
                <w:szCs w:val="21"/>
              </w:rPr>
              <w:t>投标保证金</w:t>
            </w:r>
          </w:p>
        </w:tc>
        <w:tc>
          <w:tcPr>
            <w:tcW w:w="7827" w:type="dxa"/>
            <w:tcBorders>
              <w:top w:val="single" w:color="auto" w:sz="8" w:space="0"/>
              <w:left w:val="single" w:color="auto" w:sz="4" w:space="0"/>
              <w:bottom w:val="single" w:color="auto" w:sz="8" w:space="0"/>
              <w:right w:val="single" w:color="auto" w:sz="8" w:space="0"/>
            </w:tcBorders>
            <w:vAlign w:val="center"/>
          </w:tcPr>
          <w:p w14:paraId="0AEE2AED">
            <w:pPr>
              <w:widowControl/>
              <w:spacing w:line="440" w:lineRule="exact"/>
              <w:ind w:left="-15" w:leftChars="-7" w:right="-2" w:firstLine="14" w:firstLineChars="7"/>
              <w:jc w:val="left"/>
              <w:rPr>
                <w:rFonts w:ascii="宋体" w:hAnsi="宋体" w:cs="宋体"/>
                <w:color w:val="auto"/>
                <w:kern w:val="0"/>
                <w:szCs w:val="21"/>
                <w:u w:val="single"/>
              </w:rPr>
            </w:pPr>
            <w:r>
              <w:rPr>
                <w:rFonts w:hint="eastAsia" w:ascii="宋体" w:hAnsi="宋体" w:cs="宋体"/>
                <w:color w:val="auto"/>
                <w:kern w:val="0"/>
                <w:szCs w:val="21"/>
              </w:rPr>
              <w:t>本项目不采用</w:t>
            </w:r>
          </w:p>
        </w:tc>
      </w:tr>
      <w:tr w14:paraId="49545973">
        <w:tblPrEx>
          <w:tblCellMar>
            <w:top w:w="0" w:type="dxa"/>
            <w:left w:w="0" w:type="dxa"/>
            <w:bottom w:w="0" w:type="dxa"/>
            <w:right w:w="0" w:type="dxa"/>
          </w:tblCellMar>
        </w:tblPrEx>
        <w:trPr>
          <w:trHeight w:val="37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0F3B6C1B">
            <w:pPr>
              <w:spacing w:line="440" w:lineRule="exact"/>
              <w:jc w:val="center"/>
              <w:rPr>
                <w:rFonts w:ascii="宋体" w:hAnsi="宋体" w:cs="宋体"/>
                <w:color w:val="auto"/>
                <w:kern w:val="0"/>
                <w:szCs w:val="21"/>
              </w:rPr>
            </w:pPr>
            <w:r>
              <w:rPr>
                <w:rFonts w:hint="eastAsia" w:ascii="宋体" w:hAnsi="宋体" w:cs="宋体"/>
                <w:color w:val="auto"/>
                <w:kern w:val="0"/>
                <w:szCs w:val="21"/>
              </w:rPr>
              <w:t>9</w:t>
            </w:r>
          </w:p>
        </w:tc>
        <w:tc>
          <w:tcPr>
            <w:tcW w:w="1688" w:type="dxa"/>
            <w:tcBorders>
              <w:top w:val="single" w:color="auto" w:sz="8" w:space="0"/>
              <w:left w:val="single" w:color="auto" w:sz="4" w:space="0"/>
              <w:bottom w:val="single" w:color="auto" w:sz="8" w:space="0"/>
              <w:right w:val="single" w:color="auto" w:sz="4" w:space="0"/>
            </w:tcBorders>
            <w:vAlign w:val="center"/>
          </w:tcPr>
          <w:p w14:paraId="42EEA9C4">
            <w:pPr>
              <w:wordWrap w:val="0"/>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最高投标限价</w:t>
            </w:r>
          </w:p>
        </w:tc>
        <w:tc>
          <w:tcPr>
            <w:tcW w:w="7827" w:type="dxa"/>
            <w:tcBorders>
              <w:top w:val="single" w:color="auto" w:sz="8" w:space="0"/>
              <w:left w:val="single" w:color="auto" w:sz="4" w:space="0"/>
              <w:bottom w:val="single" w:color="auto" w:sz="8" w:space="0"/>
              <w:right w:val="single" w:color="auto" w:sz="8" w:space="0"/>
            </w:tcBorders>
            <w:vAlign w:val="center"/>
          </w:tcPr>
          <w:p w14:paraId="48CB80D9">
            <w:pPr>
              <w:wordWrap w:val="0"/>
              <w:spacing w:line="440" w:lineRule="exact"/>
              <w:rPr>
                <w:rFonts w:hint="eastAsia" w:ascii="宋体" w:hAnsi="宋体" w:eastAsia="宋体" w:cs="宋体"/>
                <w:b/>
                <w:color w:val="auto"/>
                <w:szCs w:val="21"/>
              </w:rPr>
            </w:pPr>
            <w:r>
              <w:rPr>
                <w:rFonts w:hint="eastAsia" w:ascii="宋体" w:hAnsi="宋体" w:eastAsia="宋体" w:cs="宋体"/>
                <w:b/>
                <w:color w:val="auto"/>
                <w:szCs w:val="21"/>
                <w:lang w:val="en-US" w:eastAsia="zh-CN"/>
              </w:rPr>
              <w:t>伍万</w:t>
            </w:r>
            <w:r>
              <w:rPr>
                <w:rFonts w:hint="eastAsia" w:ascii="宋体" w:hAnsi="宋体" w:eastAsia="宋体" w:cs="宋体"/>
                <w:b/>
                <w:color w:val="auto"/>
                <w:szCs w:val="21"/>
                <w:lang w:eastAsia="zh-CN"/>
              </w:rPr>
              <w:t>元整</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5</w:t>
            </w:r>
            <w:r>
              <w:rPr>
                <w:rFonts w:hint="eastAsia" w:ascii="宋体" w:hAnsi="宋体" w:cs="宋体"/>
                <w:b/>
                <w:color w:val="auto"/>
                <w:szCs w:val="21"/>
                <w:lang w:val="en-US" w:eastAsia="zh-CN"/>
              </w:rPr>
              <w:t>0</w:t>
            </w:r>
            <w:r>
              <w:rPr>
                <w:rFonts w:hint="eastAsia" w:ascii="宋体" w:hAnsi="宋体" w:eastAsia="宋体" w:cs="宋体"/>
                <w:b/>
                <w:color w:val="auto"/>
                <w:szCs w:val="21"/>
                <w:lang w:val="en-US" w:eastAsia="zh-CN"/>
              </w:rPr>
              <w:t>000.00</w:t>
            </w:r>
            <w:r>
              <w:rPr>
                <w:rFonts w:hint="eastAsia" w:ascii="宋体" w:hAnsi="宋体" w:eastAsia="宋体" w:cs="宋体"/>
                <w:b/>
                <w:color w:val="auto"/>
                <w:szCs w:val="21"/>
              </w:rPr>
              <w:t>元），供应商所报投标报价不得高于最高限价 ，否则将作为无效投标处理。</w:t>
            </w:r>
          </w:p>
        </w:tc>
      </w:tr>
      <w:tr w14:paraId="3B2636C8">
        <w:tblPrEx>
          <w:tblCellMar>
            <w:top w:w="0" w:type="dxa"/>
            <w:left w:w="0" w:type="dxa"/>
            <w:bottom w:w="0" w:type="dxa"/>
            <w:right w:w="0" w:type="dxa"/>
          </w:tblCellMar>
        </w:tblPrEx>
        <w:trPr>
          <w:trHeight w:val="37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732B508A">
            <w:pPr>
              <w:spacing w:line="440" w:lineRule="exact"/>
              <w:jc w:val="center"/>
              <w:rPr>
                <w:rFonts w:ascii="宋体" w:hAnsi="宋体" w:cs="宋体"/>
                <w:color w:val="auto"/>
                <w:kern w:val="0"/>
                <w:szCs w:val="21"/>
              </w:rPr>
            </w:pPr>
            <w:r>
              <w:rPr>
                <w:rFonts w:hint="eastAsia" w:ascii="宋体" w:hAnsi="宋体" w:cs="宋体"/>
                <w:color w:val="auto"/>
                <w:kern w:val="0"/>
                <w:szCs w:val="21"/>
              </w:rPr>
              <w:t>10</w:t>
            </w:r>
          </w:p>
        </w:tc>
        <w:tc>
          <w:tcPr>
            <w:tcW w:w="1688" w:type="dxa"/>
            <w:tcBorders>
              <w:top w:val="single" w:color="auto" w:sz="8" w:space="0"/>
              <w:left w:val="single" w:color="auto" w:sz="4" w:space="0"/>
              <w:bottom w:val="single" w:color="auto" w:sz="8" w:space="0"/>
              <w:right w:val="single" w:color="auto" w:sz="4" w:space="0"/>
            </w:tcBorders>
            <w:vAlign w:val="center"/>
          </w:tcPr>
          <w:p w14:paraId="750F995C">
            <w:pPr>
              <w:pStyle w:val="12"/>
              <w:wordWrap w:val="0"/>
              <w:spacing w:line="440" w:lineRule="exact"/>
              <w:jc w:val="center"/>
              <w:rPr>
                <w:rFonts w:hAnsi="宋体" w:cs="宋体"/>
                <w:color w:val="auto"/>
                <w:szCs w:val="21"/>
              </w:rPr>
            </w:pPr>
            <w:r>
              <w:rPr>
                <w:rFonts w:hint="eastAsia" w:hAnsi="宋体" w:cs="宋体"/>
                <w:color w:val="auto"/>
                <w:szCs w:val="21"/>
              </w:rPr>
              <w:t>投标有效期</w:t>
            </w:r>
          </w:p>
        </w:tc>
        <w:tc>
          <w:tcPr>
            <w:tcW w:w="7827" w:type="dxa"/>
            <w:tcBorders>
              <w:top w:val="single" w:color="auto" w:sz="8" w:space="0"/>
              <w:left w:val="single" w:color="auto" w:sz="4" w:space="0"/>
              <w:bottom w:val="single" w:color="auto" w:sz="8" w:space="0"/>
              <w:right w:val="single" w:color="auto" w:sz="8" w:space="0"/>
            </w:tcBorders>
            <w:vAlign w:val="center"/>
          </w:tcPr>
          <w:p w14:paraId="6AF34830">
            <w:pPr>
              <w:pStyle w:val="12"/>
              <w:wordWrap w:val="0"/>
              <w:spacing w:line="440" w:lineRule="exact"/>
              <w:rPr>
                <w:rFonts w:ascii="黑体" w:hAnsi="黑体" w:eastAsia="黑体" w:cs="黑体"/>
                <w:b/>
                <w:color w:val="auto"/>
                <w:szCs w:val="21"/>
              </w:rPr>
            </w:pPr>
            <w:r>
              <w:rPr>
                <w:rFonts w:hint="eastAsia" w:hAnsi="宋体" w:cs="宋体"/>
                <w:color w:val="auto"/>
                <w:szCs w:val="21"/>
              </w:rPr>
              <w:t>投标有效期为</w:t>
            </w:r>
            <w:r>
              <w:rPr>
                <w:rFonts w:hint="eastAsia" w:hAnsi="宋体" w:cs="宋体"/>
                <w:color w:val="auto"/>
                <w:szCs w:val="21"/>
                <w:u w:val="single"/>
              </w:rPr>
              <w:t xml:space="preserve"> 60 </w:t>
            </w:r>
            <w:r>
              <w:rPr>
                <w:rFonts w:hint="eastAsia" w:hAnsi="宋体" w:cs="宋体"/>
                <w:color w:val="auto"/>
                <w:szCs w:val="21"/>
              </w:rPr>
              <w:t>日历天（从投标截止之日算起）。在此期限内，凡符合本招标文件要求的投标文件均保持有效。</w:t>
            </w:r>
          </w:p>
        </w:tc>
      </w:tr>
      <w:tr w14:paraId="5844A6A9">
        <w:tblPrEx>
          <w:tblCellMar>
            <w:top w:w="0" w:type="dxa"/>
            <w:left w:w="0" w:type="dxa"/>
            <w:bottom w:w="0" w:type="dxa"/>
            <w:right w:w="0" w:type="dxa"/>
          </w:tblCellMar>
        </w:tblPrEx>
        <w:trPr>
          <w:trHeight w:val="37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46345055">
            <w:pPr>
              <w:spacing w:line="440" w:lineRule="exact"/>
              <w:jc w:val="center"/>
              <w:rPr>
                <w:rFonts w:ascii="宋体" w:hAnsi="宋体" w:cs="宋体"/>
                <w:color w:val="auto"/>
                <w:kern w:val="0"/>
                <w:szCs w:val="21"/>
              </w:rPr>
            </w:pPr>
            <w:r>
              <w:rPr>
                <w:rFonts w:hint="eastAsia" w:ascii="宋体" w:hAnsi="宋体" w:cs="宋体"/>
                <w:color w:val="auto"/>
                <w:kern w:val="0"/>
                <w:szCs w:val="21"/>
              </w:rPr>
              <w:t>11</w:t>
            </w:r>
          </w:p>
        </w:tc>
        <w:tc>
          <w:tcPr>
            <w:tcW w:w="1688" w:type="dxa"/>
            <w:tcBorders>
              <w:top w:val="single" w:color="auto" w:sz="8" w:space="0"/>
              <w:left w:val="single" w:color="auto" w:sz="4" w:space="0"/>
              <w:bottom w:val="single" w:color="auto" w:sz="8" w:space="0"/>
              <w:right w:val="single" w:color="auto" w:sz="4" w:space="0"/>
            </w:tcBorders>
            <w:vAlign w:val="center"/>
          </w:tcPr>
          <w:p w14:paraId="3D0AD6BA">
            <w:pPr>
              <w:pStyle w:val="12"/>
              <w:wordWrap w:val="0"/>
              <w:spacing w:line="440" w:lineRule="exact"/>
              <w:jc w:val="center"/>
              <w:rPr>
                <w:rFonts w:hAnsi="宋体" w:cs="宋体"/>
                <w:color w:val="auto"/>
                <w:szCs w:val="21"/>
              </w:rPr>
            </w:pPr>
            <w:r>
              <w:rPr>
                <w:rFonts w:hint="eastAsia" w:hAnsi="宋体" w:cs="宋体"/>
                <w:bCs/>
                <w:color w:val="auto"/>
                <w:kern w:val="0"/>
                <w:szCs w:val="21"/>
              </w:rPr>
              <w:t>投标文件数量</w:t>
            </w:r>
          </w:p>
        </w:tc>
        <w:tc>
          <w:tcPr>
            <w:tcW w:w="7827" w:type="dxa"/>
            <w:tcBorders>
              <w:top w:val="single" w:color="auto" w:sz="8" w:space="0"/>
              <w:left w:val="single" w:color="auto" w:sz="4" w:space="0"/>
              <w:bottom w:val="single" w:color="auto" w:sz="8" w:space="0"/>
              <w:right w:val="single" w:color="auto" w:sz="8" w:space="0"/>
            </w:tcBorders>
            <w:vAlign w:val="center"/>
          </w:tcPr>
          <w:p w14:paraId="64B06B8D">
            <w:pPr>
              <w:pStyle w:val="12"/>
              <w:wordWrap w:val="0"/>
              <w:spacing w:line="440" w:lineRule="exact"/>
              <w:rPr>
                <w:rFonts w:hAnsi="宋体" w:cs="宋体"/>
                <w:color w:val="auto"/>
                <w:szCs w:val="21"/>
              </w:rPr>
            </w:pPr>
            <w:r>
              <w:rPr>
                <w:rFonts w:hint="eastAsia" w:hAnsi="宋体" w:cs="宋体"/>
                <w:color w:val="auto"/>
              </w:rPr>
              <w:t>正本一份，副本两份;</w:t>
            </w:r>
          </w:p>
        </w:tc>
      </w:tr>
      <w:tr w14:paraId="45567EE3">
        <w:tblPrEx>
          <w:tblCellMar>
            <w:top w:w="0" w:type="dxa"/>
            <w:left w:w="0" w:type="dxa"/>
            <w:bottom w:w="0" w:type="dxa"/>
            <w:right w:w="0" w:type="dxa"/>
          </w:tblCellMar>
        </w:tblPrEx>
        <w:trPr>
          <w:trHeight w:val="377"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3CDE10AE">
            <w:pPr>
              <w:spacing w:line="440" w:lineRule="exact"/>
              <w:jc w:val="center"/>
              <w:rPr>
                <w:rFonts w:ascii="宋体" w:hAnsi="宋体" w:cs="宋体"/>
                <w:color w:val="auto"/>
                <w:kern w:val="0"/>
                <w:szCs w:val="21"/>
              </w:rPr>
            </w:pPr>
            <w:r>
              <w:rPr>
                <w:rFonts w:hint="eastAsia" w:ascii="宋体" w:hAnsi="宋体" w:cs="宋体"/>
                <w:color w:val="auto"/>
                <w:kern w:val="0"/>
                <w:szCs w:val="21"/>
              </w:rPr>
              <w:t>12</w:t>
            </w:r>
          </w:p>
        </w:tc>
        <w:tc>
          <w:tcPr>
            <w:tcW w:w="1688" w:type="dxa"/>
            <w:tcBorders>
              <w:top w:val="single" w:color="auto" w:sz="8" w:space="0"/>
              <w:left w:val="single" w:color="auto" w:sz="4" w:space="0"/>
              <w:bottom w:val="single" w:color="auto" w:sz="8" w:space="0"/>
              <w:right w:val="single" w:color="auto" w:sz="4" w:space="0"/>
            </w:tcBorders>
            <w:vAlign w:val="center"/>
          </w:tcPr>
          <w:p w14:paraId="2DC70381">
            <w:pPr>
              <w:spacing w:line="440" w:lineRule="exact"/>
              <w:jc w:val="left"/>
              <w:rPr>
                <w:rFonts w:hAnsi="宋体" w:cs="宋体"/>
                <w:bCs/>
                <w:color w:val="auto"/>
                <w:kern w:val="0"/>
                <w:szCs w:val="21"/>
              </w:rPr>
            </w:pPr>
            <w:r>
              <w:rPr>
                <w:rFonts w:hint="eastAsia" w:ascii="宋体" w:hAnsi="宋体" w:cs="宋体"/>
                <w:color w:val="auto"/>
              </w:rPr>
              <w:t>装订、密封要求</w:t>
            </w:r>
          </w:p>
        </w:tc>
        <w:tc>
          <w:tcPr>
            <w:tcW w:w="7827" w:type="dxa"/>
            <w:tcBorders>
              <w:top w:val="single" w:color="auto" w:sz="8" w:space="0"/>
              <w:left w:val="single" w:color="auto" w:sz="4" w:space="0"/>
              <w:bottom w:val="single" w:color="auto" w:sz="8" w:space="0"/>
              <w:right w:val="single" w:color="auto" w:sz="8" w:space="0"/>
            </w:tcBorders>
            <w:vAlign w:val="center"/>
          </w:tcPr>
          <w:p w14:paraId="718DC7F2">
            <w:pPr>
              <w:spacing w:line="440" w:lineRule="exact"/>
              <w:jc w:val="left"/>
              <w:rPr>
                <w:rFonts w:ascii="宋体" w:hAnsi="宋体" w:cs="宋体"/>
                <w:color w:val="auto"/>
              </w:rPr>
            </w:pPr>
            <w:r>
              <w:rPr>
                <w:rFonts w:hint="eastAsia" w:ascii="宋体" w:hAnsi="宋体" w:cs="宋体"/>
                <w:b/>
                <w:bCs/>
                <w:color w:val="auto"/>
                <w:szCs w:val="21"/>
              </w:rPr>
              <w:t>资格证明文件正副本密封在资格证明文件袋内，技术标正副本密封在技术标文件袋内,商务标正副本密封在商务标文件袋内。</w:t>
            </w:r>
          </w:p>
        </w:tc>
      </w:tr>
      <w:tr w14:paraId="3DD5C45E">
        <w:tblPrEx>
          <w:tblCellMar>
            <w:top w:w="0" w:type="dxa"/>
            <w:left w:w="0" w:type="dxa"/>
            <w:bottom w:w="0" w:type="dxa"/>
            <w:right w:w="0" w:type="dxa"/>
          </w:tblCellMar>
        </w:tblPrEx>
        <w:trPr>
          <w:trHeight w:val="432"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303E1F36">
            <w:pPr>
              <w:spacing w:line="440" w:lineRule="exact"/>
              <w:jc w:val="center"/>
              <w:rPr>
                <w:rFonts w:ascii="宋体" w:hAnsi="宋体" w:cs="宋体"/>
                <w:color w:val="auto"/>
                <w:kern w:val="0"/>
                <w:szCs w:val="21"/>
              </w:rPr>
            </w:pPr>
            <w:r>
              <w:rPr>
                <w:rFonts w:hint="eastAsia" w:ascii="宋体" w:hAnsi="宋体" w:cs="宋体"/>
                <w:color w:val="auto"/>
                <w:kern w:val="0"/>
                <w:szCs w:val="21"/>
              </w:rPr>
              <w:t>13</w:t>
            </w:r>
          </w:p>
        </w:tc>
        <w:tc>
          <w:tcPr>
            <w:tcW w:w="1688" w:type="dxa"/>
            <w:tcBorders>
              <w:top w:val="single" w:color="auto" w:sz="8" w:space="0"/>
              <w:left w:val="single" w:color="auto" w:sz="4" w:space="0"/>
              <w:bottom w:val="single" w:color="auto" w:sz="8" w:space="0"/>
              <w:right w:val="single" w:color="auto" w:sz="4" w:space="0"/>
            </w:tcBorders>
            <w:vAlign w:val="center"/>
          </w:tcPr>
          <w:p w14:paraId="2F26AB7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投标文件提交截止时间及地点</w:t>
            </w:r>
          </w:p>
        </w:tc>
        <w:tc>
          <w:tcPr>
            <w:tcW w:w="7827" w:type="dxa"/>
            <w:tcBorders>
              <w:top w:val="single" w:color="auto" w:sz="8" w:space="0"/>
              <w:left w:val="single" w:color="auto" w:sz="4" w:space="0"/>
              <w:bottom w:val="single" w:color="auto" w:sz="8" w:space="0"/>
              <w:right w:val="single" w:color="auto" w:sz="8" w:space="0"/>
            </w:tcBorders>
            <w:vAlign w:val="center"/>
          </w:tcPr>
          <w:p w14:paraId="41176F68">
            <w:pPr>
              <w:spacing w:line="440" w:lineRule="exact"/>
              <w:ind w:left="218" w:right="-2" w:hanging="218" w:hangingChars="104"/>
              <w:rPr>
                <w:rFonts w:ascii="宋体" w:hAnsi="宋体" w:cs="宋体"/>
                <w:color w:val="auto"/>
                <w:szCs w:val="21"/>
                <w:highlight w:val="none"/>
              </w:rPr>
            </w:pPr>
            <w:r>
              <w:rPr>
                <w:rFonts w:hint="eastAsia" w:ascii="宋体" w:hAnsi="宋体" w:cs="宋体"/>
                <w:color w:val="auto"/>
                <w:szCs w:val="21"/>
                <w:highlight w:val="none"/>
              </w:rPr>
              <w:t xml:space="preserve">收件人：安徽广宇项目管理有限公司 </w:t>
            </w:r>
          </w:p>
          <w:p w14:paraId="37899351">
            <w:pPr>
              <w:widowControl/>
              <w:spacing w:line="440" w:lineRule="exact"/>
              <w:ind w:right="-2"/>
              <w:jc w:val="left"/>
              <w:textAlignment w:val="baseline"/>
              <w:rPr>
                <w:rFonts w:hint="eastAsia" w:ascii="宋体" w:hAnsi="宋体" w:cs="宋体"/>
                <w:b/>
                <w:bCs/>
                <w:color w:val="auto"/>
                <w:szCs w:val="21"/>
                <w:highlight w:val="none"/>
              </w:rPr>
            </w:pPr>
            <w:r>
              <w:rPr>
                <w:rFonts w:hint="eastAsia" w:ascii="宋体" w:hAnsi="宋体" w:cs="宋体"/>
                <w:color w:val="auto"/>
                <w:szCs w:val="21"/>
                <w:highlight w:val="none"/>
              </w:rPr>
              <w:t>时  间：</w:t>
            </w:r>
            <w:r>
              <w:rPr>
                <w:rFonts w:hint="eastAsia" w:ascii="宋体" w:hAnsi="宋体" w:cs="宋体"/>
                <w:b/>
                <w:bCs/>
                <w:color w:val="auto"/>
                <w:szCs w:val="21"/>
                <w:highlight w:val="none"/>
              </w:rPr>
              <w:t>2024年9月2</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 xml:space="preserve">时00分 （北京时间） </w:t>
            </w:r>
          </w:p>
          <w:p w14:paraId="0949CC21">
            <w:pPr>
              <w:widowControl/>
              <w:spacing w:line="440" w:lineRule="exact"/>
              <w:ind w:right="-2"/>
              <w:jc w:val="left"/>
              <w:textAlignment w:val="baseline"/>
              <w:rPr>
                <w:rFonts w:ascii="宋体" w:hAnsi="宋体" w:cs="宋体"/>
                <w:color w:val="auto"/>
                <w:szCs w:val="21"/>
                <w:highlight w:val="none"/>
              </w:rPr>
            </w:pPr>
            <w:r>
              <w:rPr>
                <w:rFonts w:hint="eastAsia" w:ascii="宋体" w:hAnsi="宋体" w:cs="宋体"/>
                <w:b/>
                <w:bCs/>
                <w:color w:val="auto"/>
                <w:szCs w:val="21"/>
                <w:highlight w:val="none"/>
              </w:rPr>
              <w:t>地</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点：滁州开放大学信息楼二楼会议室</w:t>
            </w:r>
          </w:p>
        </w:tc>
      </w:tr>
      <w:tr w14:paraId="5C0882E1">
        <w:tblPrEx>
          <w:tblCellMar>
            <w:top w:w="0" w:type="dxa"/>
            <w:left w:w="0" w:type="dxa"/>
            <w:bottom w:w="0" w:type="dxa"/>
            <w:right w:w="0" w:type="dxa"/>
          </w:tblCellMar>
        </w:tblPrEx>
        <w:trPr>
          <w:trHeight w:val="444"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4F9F6651">
            <w:pPr>
              <w:spacing w:line="440" w:lineRule="exact"/>
              <w:jc w:val="center"/>
              <w:rPr>
                <w:rFonts w:ascii="宋体" w:hAnsi="宋体" w:cs="宋体"/>
                <w:color w:val="auto"/>
                <w:kern w:val="0"/>
                <w:szCs w:val="21"/>
              </w:rPr>
            </w:pPr>
            <w:r>
              <w:rPr>
                <w:rFonts w:hint="eastAsia" w:ascii="宋体" w:hAnsi="宋体" w:cs="宋体"/>
                <w:color w:val="auto"/>
                <w:kern w:val="0"/>
                <w:szCs w:val="21"/>
              </w:rPr>
              <w:t>14</w:t>
            </w:r>
          </w:p>
        </w:tc>
        <w:tc>
          <w:tcPr>
            <w:tcW w:w="1688" w:type="dxa"/>
            <w:tcBorders>
              <w:top w:val="single" w:color="auto" w:sz="8" w:space="0"/>
              <w:left w:val="single" w:color="auto" w:sz="4" w:space="0"/>
              <w:bottom w:val="single" w:color="auto" w:sz="8" w:space="0"/>
              <w:right w:val="single" w:color="auto" w:sz="4" w:space="0"/>
            </w:tcBorders>
            <w:vAlign w:val="center"/>
          </w:tcPr>
          <w:p w14:paraId="28C5CF3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  标</w:t>
            </w:r>
          </w:p>
        </w:tc>
        <w:tc>
          <w:tcPr>
            <w:tcW w:w="7827" w:type="dxa"/>
            <w:tcBorders>
              <w:top w:val="single" w:color="auto" w:sz="8" w:space="0"/>
              <w:left w:val="single" w:color="auto" w:sz="4" w:space="0"/>
              <w:bottom w:val="single" w:color="auto" w:sz="8" w:space="0"/>
              <w:right w:val="single" w:color="auto" w:sz="8" w:space="0"/>
            </w:tcBorders>
            <w:vAlign w:val="center"/>
          </w:tcPr>
          <w:p w14:paraId="2BB13B57">
            <w:pPr>
              <w:spacing w:line="440" w:lineRule="exact"/>
              <w:ind w:left="323" w:leftChars="50" w:right="105" w:rightChars="50" w:hanging="218" w:hangingChars="104"/>
              <w:rPr>
                <w:color w:val="auto"/>
                <w:highlight w:val="none"/>
              </w:rPr>
            </w:pPr>
            <w:r>
              <w:rPr>
                <w:rFonts w:hint="eastAsia"/>
                <w:color w:val="auto"/>
                <w:highlight w:val="none"/>
              </w:rPr>
              <w:t>开标时间：</w:t>
            </w:r>
            <w:r>
              <w:rPr>
                <w:rFonts w:hint="eastAsia" w:ascii="宋体" w:hAnsi="宋体" w:cs="宋体"/>
                <w:b/>
                <w:bCs/>
                <w:color w:val="auto"/>
                <w:szCs w:val="21"/>
                <w:highlight w:val="none"/>
              </w:rPr>
              <w:t>2024年9月2</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 xml:space="preserve">时00分 （北京时间） </w:t>
            </w:r>
          </w:p>
          <w:p w14:paraId="79256175">
            <w:pPr>
              <w:widowControl/>
              <w:spacing w:line="440" w:lineRule="exact"/>
              <w:ind w:left="121" w:leftChars="50" w:right="105" w:rightChars="50" w:hanging="16" w:hangingChars="8"/>
              <w:jc w:val="left"/>
              <w:textAlignment w:val="baseline"/>
              <w:rPr>
                <w:color w:val="auto"/>
                <w:highlight w:val="none"/>
              </w:rPr>
            </w:pPr>
            <w:r>
              <w:rPr>
                <w:rFonts w:hint="eastAsia"/>
                <w:color w:val="auto"/>
                <w:highlight w:val="none"/>
              </w:rPr>
              <w:t>开标地点：</w:t>
            </w:r>
            <w:r>
              <w:rPr>
                <w:rFonts w:hint="eastAsia" w:ascii="宋体" w:hAnsi="宋体" w:cs="宋体"/>
                <w:b/>
                <w:bCs/>
                <w:color w:val="auto"/>
                <w:szCs w:val="21"/>
                <w:highlight w:val="none"/>
              </w:rPr>
              <w:t>滁州开放大学信息楼二楼会议室</w:t>
            </w:r>
          </w:p>
        </w:tc>
      </w:tr>
      <w:tr w14:paraId="6AAE077C">
        <w:tblPrEx>
          <w:tblCellMar>
            <w:top w:w="0" w:type="dxa"/>
            <w:left w:w="0" w:type="dxa"/>
            <w:bottom w:w="0" w:type="dxa"/>
            <w:right w:w="0" w:type="dxa"/>
          </w:tblCellMar>
        </w:tblPrEx>
        <w:trPr>
          <w:trHeight w:val="444" w:hRule="atLeast"/>
          <w:jc w:val="center"/>
        </w:trPr>
        <w:tc>
          <w:tcPr>
            <w:tcW w:w="603" w:type="dxa"/>
            <w:tcBorders>
              <w:top w:val="single" w:color="auto" w:sz="8" w:space="0"/>
              <w:left w:val="single" w:color="auto" w:sz="8" w:space="0"/>
              <w:bottom w:val="single" w:color="auto" w:sz="8" w:space="0"/>
              <w:right w:val="single" w:color="auto" w:sz="8" w:space="0"/>
            </w:tcBorders>
            <w:vAlign w:val="center"/>
          </w:tcPr>
          <w:p w14:paraId="60748DF7">
            <w:pPr>
              <w:spacing w:line="4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14.1</w:t>
            </w:r>
          </w:p>
        </w:tc>
        <w:tc>
          <w:tcPr>
            <w:tcW w:w="1688" w:type="dxa"/>
            <w:tcBorders>
              <w:top w:val="single" w:color="auto" w:sz="8" w:space="0"/>
              <w:left w:val="single" w:color="auto" w:sz="4" w:space="0"/>
              <w:bottom w:val="single" w:color="auto" w:sz="8" w:space="0"/>
              <w:right w:val="single" w:color="auto" w:sz="4" w:space="0"/>
            </w:tcBorders>
            <w:vAlign w:val="center"/>
          </w:tcPr>
          <w:p w14:paraId="6184275B">
            <w:pPr>
              <w:keepNext/>
              <w:wordWrap w:val="0"/>
              <w:spacing w:line="300" w:lineRule="exact"/>
              <w:ind w:firstLine="420" w:firstLineChars="200"/>
              <w:rPr>
                <w:rFonts w:hint="eastAsia" w:ascii="宋体" w:hAnsi="宋体" w:cs="宋体"/>
                <w:color w:val="auto"/>
                <w:kern w:val="0"/>
                <w:szCs w:val="21"/>
              </w:rPr>
            </w:pPr>
            <w:r>
              <w:rPr>
                <w:rFonts w:hint="eastAsia" w:ascii="宋体" w:hAnsi="宋体" w:cs="宋体"/>
                <w:bCs/>
                <w:color w:val="000000"/>
                <w:szCs w:val="21"/>
                <w:highlight w:val="none"/>
              </w:rPr>
              <w:t>开标程序</w:t>
            </w:r>
          </w:p>
        </w:tc>
        <w:tc>
          <w:tcPr>
            <w:tcW w:w="7827" w:type="dxa"/>
            <w:tcBorders>
              <w:top w:val="single" w:color="auto" w:sz="8" w:space="0"/>
              <w:left w:val="single" w:color="auto" w:sz="4" w:space="0"/>
              <w:bottom w:val="single" w:color="auto" w:sz="8" w:space="0"/>
              <w:right w:val="single" w:color="auto" w:sz="8" w:space="0"/>
            </w:tcBorders>
            <w:vAlign w:val="center"/>
          </w:tcPr>
          <w:p w14:paraId="02EE69D8">
            <w:pPr>
              <w:keepNext/>
              <w:wordWrap w:val="0"/>
              <w:spacing w:line="300" w:lineRule="exact"/>
              <w:rPr>
                <w:rFonts w:hint="eastAsia"/>
                <w:color w:val="auto"/>
              </w:rPr>
            </w:pPr>
            <w:r>
              <w:rPr>
                <w:rFonts w:hint="eastAsia" w:ascii="宋体"/>
                <w:color w:val="000000"/>
                <w:szCs w:val="21"/>
                <w:highlight w:val="none"/>
              </w:rPr>
              <w:t>开标顺序：按资格证明文件、技术标、商务标顺序拆标书，</w:t>
            </w:r>
            <w:r>
              <w:rPr>
                <w:rFonts w:hint="eastAsia" w:ascii="宋体" w:hAnsi="宋体"/>
                <w:color w:val="000000"/>
                <w:szCs w:val="21"/>
                <w:highlight w:val="none"/>
              </w:rPr>
              <w:t>报评标委员会评审；</w:t>
            </w:r>
          </w:p>
        </w:tc>
      </w:tr>
      <w:tr w14:paraId="500CEBB2">
        <w:tblPrEx>
          <w:tblCellMar>
            <w:top w:w="0" w:type="dxa"/>
            <w:left w:w="0" w:type="dxa"/>
            <w:bottom w:w="0" w:type="dxa"/>
            <w:right w:w="0" w:type="dxa"/>
          </w:tblCellMar>
        </w:tblPrEx>
        <w:trPr>
          <w:trHeight w:val="370"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386B1C57">
            <w:pPr>
              <w:spacing w:line="440" w:lineRule="exact"/>
              <w:jc w:val="center"/>
              <w:rPr>
                <w:rFonts w:ascii="宋体" w:hAnsi="宋体" w:cs="宋体"/>
                <w:color w:val="auto"/>
                <w:kern w:val="0"/>
                <w:szCs w:val="21"/>
              </w:rPr>
            </w:pPr>
            <w:r>
              <w:rPr>
                <w:rFonts w:hint="eastAsia" w:ascii="宋体" w:hAnsi="宋体" w:cs="宋体"/>
                <w:color w:val="auto"/>
                <w:kern w:val="0"/>
                <w:szCs w:val="21"/>
              </w:rPr>
              <w:t>15</w:t>
            </w:r>
          </w:p>
        </w:tc>
        <w:tc>
          <w:tcPr>
            <w:tcW w:w="1688" w:type="dxa"/>
            <w:tcBorders>
              <w:top w:val="single" w:color="auto" w:sz="4" w:space="0"/>
              <w:left w:val="single" w:color="auto" w:sz="4" w:space="0"/>
              <w:bottom w:val="single" w:color="auto" w:sz="4" w:space="0"/>
              <w:right w:val="single" w:color="auto" w:sz="4" w:space="0"/>
            </w:tcBorders>
            <w:vAlign w:val="center"/>
          </w:tcPr>
          <w:p w14:paraId="06244D89">
            <w:pPr>
              <w:spacing w:line="440" w:lineRule="exact"/>
              <w:jc w:val="center"/>
              <w:rPr>
                <w:rFonts w:ascii="宋体" w:hAnsi="宋体" w:cs="宋体"/>
                <w:color w:val="auto"/>
                <w:kern w:val="0"/>
                <w:szCs w:val="21"/>
              </w:rPr>
            </w:pPr>
            <w:r>
              <w:rPr>
                <w:rFonts w:hint="eastAsia" w:ascii="宋体" w:hAnsi="宋体" w:cs="宋体"/>
                <w:color w:val="auto"/>
                <w:kern w:val="0"/>
                <w:szCs w:val="21"/>
              </w:rPr>
              <w:t>中标价</w:t>
            </w:r>
          </w:p>
        </w:tc>
        <w:tc>
          <w:tcPr>
            <w:tcW w:w="7827" w:type="dxa"/>
            <w:tcBorders>
              <w:top w:val="single" w:color="auto" w:sz="4" w:space="0"/>
              <w:left w:val="single" w:color="auto" w:sz="4" w:space="0"/>
              <w:bottom w:val="single" w:color="auto" w:sz="4" w:space="0"/>
              <w:right w:val="single" w:color="auto" w:sz="8" w:space="0"/>
            </w:tcBorders>
            <w:vAlign w:val="center"/>
          </w:tcPr>
          <w:p w14:paraId="74DC16EF">
            <w:pPr>
              <w:spacing w:line="440" w:lineRule="exact"/>
              <w:ind w:left="105" w:leftChars="50" w:right="105" w:rightChars="50"/>
              <w:rPr>
                <w:rFonts w:ascii="宋体" w:hAnsi="宋体" w:cs="宋体"/>
                <w:color w:val="auto"/>
                <w:kern w:val="0"/>
                <w:szCs w:val="21"/>
              </w:rPr>
            </w:pPr>
            <w:r>
              <w:rPr>
                <w:rFonts w:hint="eastAsia" w:ascii="宋体" w:hAnsi="宋体" w:cs="宋体"/>
                <w:color w:val="auto"/>
                <w:kern w:val="0"/>
                <w:szCs w:val="21"/>
              </w:rPr>
              <w:t>在评标中经过修正的中标单位的投标总报价作为中标价，中标价即为合同价。本项目采用固定</w:t>
            </w:r>
            <w:r>
              <w:rPr>
                <w:rFonts w:hint="eastAsia" w:ascii="宋体" w:hAnsi="宋体" w:cs="宋体"/>
                <w:color w:val="auto"/>
                <w:kern w:val="0"/>
                <w:szCs w:val="21"/>
                <w:lang w:val="en-US" w:eastAsia="zh-CN"/>
              </w:rPr>
              <w:t>总</w:t>
            </w:r>
            <w:r>
              <w:rPr>
                <w:rFonts w:hint="eastAsia" w:ascii="宋体" w:hAnsi="宋体" w:cs="宋体"/>
                <w:color w:val="auto"/>
                <w:kern w:val="0"/>
                <w:szCs w:val="21"/>
              </w:rPr>
              <w:t>价合同，中标后不予调整。</w:t>
            </w:r>
          </w:p>
        </w:tc>
      </w:tr>
      <w:tr w14:paraId="7B6F8CB0">
        <w:tblPrEx>
          <w:tblCellMar>
            <w:top w:w="0" w:type="dxa"/>
            <w:left w:w="0" w:type="dxa"/>
            <w:bottom w:w="0" w:type="dxa"/>
            <w:right w:w="0" w:type="dxa"/>
          </w:tblCellMar>
        </w:tblPrEx>
        <w:trPr>
          <w:trHeight w:val="655"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196E3288">
            <w:pPr>
              <w:spacing w:line="440" w:lineRule="exact"/>
              <w:jc w:val="center"/>
              <w:rPr>
                <w:rFonts w:ascii="宋体" w:hAnsi="宋体" w:cs="宋体"/>
                <w:color w:val="auto"/>
                <w:kern w:val="0"/>
                <w:szCs w:val="21"/>
              </w:rPr>
            </w:pPr>
            <w:r>
              <w:rPr>
                <w:rFonts w:hint="eastAsia" w:ascii="宋体" w:hAnsi="宋体" w:cs="宋体"/>
                <w:color w:val="auto"/>
                <w:kern w:val="0"/>
                <w:szCs w:val="21"/>
              </w:rPr>
              <w:t>16</w:t>
            </w:r>
          </w:p>
        </w:tc>
        <w:tc>
          <w:tcPr>
            <w:tcW w:w="1688" w:type="dxa"/>
            <w:tcBorders>
              <w:top w:val="single" w:color="auto" w:sz="4" w:space="0"/>
              <w:left w:val="single" w:color="auto" w:sz="4" w:space="0"/>
              <w:bottom w:val="single" w:color="auto" w:sz="4" w:space="0"/>
              <w:right w:val="single" w:color="auto" w:sz="4" w:space="0"/>
            </w:tcBorders>
            <w:vAlign w:val="center"/>
          </w:tcPr>
          <w:p w14:paraId="0487CDDE">
            <w:pPr>
              <w:pStyle w:val="12"/>
              <w:spacing w:line="440" w:lineRule="exact"/>
              <w:jc w:val="center"/>
              <w:rPr>
                <w:rFonts w:hAnsi="宋体" w:cs="宋体"/>
                <w:color w:val="auto"/>
                <w:kern w:val="0"/>
                <w:szCs w:val="21"/>
              </w:rPr>
            </w:pPr>
            <w:r>
              <w:rPr>
                <w:rFonts w:hint="eastAsia" w:hAnsi="宋体" w:cs="宋体"/>
                <w:b/>
                <w:bCs/>
                <w:color w:val="auto"/>
                <w:szCs w:val="21"/>
              </w:rPr>
              <w:t>评标小组会的组建</w:t>
            </w:r>
          </w:p>
        </w:tc>
        <w:tc>
          <w:tcPr>
            <w:tcW w:w="7827" w:type="dxa"/>
            <w:tcBorders>
              <w:top w:val="single" w:color="auto" w:sz="4" w:space="0"/>
              <w:left w:val="single" w:color="auto" w:sz="4" w:space="0"/>
              <w:bottom w:val="single" w:color="auto" w:sz="4" w:space="0"/>
              <w:right w:val="single" w:color="auto" w:sz="8" w:space="0"/>
            </w:tcBorders>
          </w:tcPr>
          <w:p w14:paraId="018102C6">
            <w:pPr>
              <w:pStyle w:val="12"/>
              <w:spacing w:line="440" w:lineRule="exact"/>
              <w:rPr>
                <w:rFonts w:hAnsi="宋体" w:cs="宋体"/>
                <w:b/>
                <w:bCs/>
                <w:color w:val="auto"/>
                <w:szCs w:val="21"/>
              </w:rPr>
            </w:pPr>
          </w:p>
          <w:p w14:paraId="43B618CD">
            <w:pPr>
              <w:pStyle w:val="12"/>
              <w:spacing w:line="440" w:lineRule="exact"/>
              <w:rPr>
                <w:rFonts w:hAnsi="宋体" w:cs="宋体"/>
                <w:color w:val="auto"/>
                <w:kern w:val="0"/>
                <w:szCs w:val="21"/>
              </w:rPr>
            </w:pPr>
            <w:r>
              <w:rPr>
                <w:rFonts w:hint="eastAsia" w:hAnsi="宋体" w:cs="宋体"/>
                <w:b/>
                <w:bCs/>
                <w:color w:val="auto"/>
                <w:szCs w:val="21"/>
              </w:rPr>
              <w:t>评标小组由</w:t>
            </w:r>
            <w:r>
              <w:rPr>
                <w:rFonts w:hint="eastAsia" w:hAnsi="宋体" w:cs="宋体"/>
                <w:b/>
                <w:bCs/>
                <w:color w:val="auto"/>
                <w:szCs w:val="21"/>
                <w:lang w:val="en-US" w:eastAsia="zh-CN"/>
              </w:rPr>
              <w:t>采购</w:t>
            </w:r>
            <w:r>
              <w:rPr>
                <w:rFonts w:hint="eastAsia" w:hAnsi="宋体" w:cs="宋体"/>
                <w:b/>
                <w:bCs/>
                <w:color w:val="auto"/>
                <w:szCs w:val="21"/>
              </w:rPr>
              <w:t>人依法</w:t>
            </w:r>
            <w:r>
              <w:rPr>
                <w:rFonts w:hint="eastAsia" w:cs="宋体"/>
                <w:b/>
                <w:bCs/>
                <w:color w:val="auto"/>
                <w:kern w:val="0"/>
                <w:szCs w:val="21"/>
              </w:rPr>
              <w:t>组成</w:t>
            </w:r>
            <w:r>
              <w:rPr>
                <w:rFonts w:hint="eastAsia" w:hAnsi="宋体" w:cs="宋体"/>
                <w:b/>
                <w:bCs/>
                <w:color w:val="auto"/>
                <w:szCs w:val="21"/>
              </w:rPr>
              <w:t>；</w:t>
            </w:r>
          </w:p>
        </w:tc>
      </w:tr>
      <w:tr w14:paraId="73A2D0BB">
        <w:tblPrEx>
          <w:tblCellMar>
            <w:top w:w="0" w:type="dxa"/>
            <w:left w:w="0" w:type="dxa"/>
            <w:bottom w:w="0" w:type="dxa"/>
            <w:right w:w="0" w:type="dxa"/>
          </w:tblCellMar>
        </w:tblPrEx>
        <w:trPr>
          <w:trHeight w:val="370"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5C03B0CE">
            <w:pPr>
              <w:spacing w:line="440" w:lineRule="exact"/>
              <w:jc w:val="center"/>
              <w:rPr>
                <w:rFonts w:ascii="宋体" w:hAnsi="宋体" w:cs="宋体"/>
                <w:color w:val="auto"/>
                <w:kern w:val="0"/>
                <w:szCs w:val="21"/>
              </w:rPr>
            </w:pPr>
            <w:r>
              <w:rPr>
                <w:rFonts w:hint="eastAsia" w:ascii="宋体" w:hAnsi="宋体" w:cs="宋体"/>
                <w:color w:val="auto"/>
                <w:kern w:val="0"/>
                <w:szCs w:val="21"/>
              </w:rPr>
              <w:t>17</w:t>
            </w:r>
          </w:p>
        </w:tc>
        <w:tc>
          <w:tcPr>
            <w:tcW w:w="1688" w:type="dxa"/>
            <w:tcBorders>
              <w:top w:val="single" w:color="auto" w:sz="4" w:space="0"/>
              <w:left w:val="single" w:color="auto" w:sz="4" w:space="0"/>
              <w:bottom w:val="single" w:color="auto" w:sz="4" w:space="0"/>
              <w:right w:val="single" w:color="auto" w:sz="4" w:space="0"/>
            </w:tcBorders>
            <w:vAlign w:val="center"/>
          </w:tcPr>
          <w:p w14:paraId="26783FF7">
            <w:pPr>
              <w:pStyle w:val="12"/>
              <w:wordWrap w:val="0"/>
              <w:spacing w:line="440" w:lineRule="exact"/>
              <w:jc w:val="center"/>
              <w:rPr>
                <w:rFonts w:hAnsi="宋体" w:cs="宋体"/>
                <w:b/>
                <w:bCs/>
                <w:color w:val="auto"/>
                <w:szCs w:val="21"/>
              </w:rPr>
            </w:pPr>
            <w:r>
              <w:rPr>
                <w:rFonts w:hint="eastAsia" w:hAnsi="宋体" w:cs="宋体"/>
                <w:color w:val="auto"/>
                <w:szCs w:val="21"/>
              </w:rPr>
              <w:t>是否授权评标委员会确定中标候选人</w:t>
            </w:r>
          </w:p>
        </w:tc>
        <w:tc>
          <w:tcPr>
            <w:tcW w:w="7827" w:type="dxa"/>
            <w:tcBorders>
              <w:top w:val="single" w:color="auto" w:sz="4" w:space="0"/>
              <w:left w:val="single" w:color="auto" w:sz="4" w:space="0"/>
              <w:bottom w:val="single" w:color="auto" w:sz="4" w:space="0"/>
              <w:right w:val="single" w:color="auto" w:sz="8" w:space="0"/>
            </w:tcBorders>
            <w:vAlign w:val="center"/>
          </w:tcPr>
          <w:p w14:paraId="62D7BB8B">
            <w:pPr>
              <w:pStyle w:val="12"/>
              <w:wordWrap w:val="0"/>
              <w:spacing w:line="440" w:lineRule="exact"/>
              <w:rPr>
                <w:rFonts w:hAnsi="宋体" w:cs="宋体"/>
                <w:b/>
                <w:bCs/>
                <w:color w:val="auto"/>
                <w:szCs w:val="21"/>
              </w:rPr>
            </w:pPr>
            <w:r>
              <w:rPr>
                <w:rFonts w:hint="eastAsia" w:hAnsi="宋体" w:cs="宋体"/>
                <w:color w:val="auto"/>
                <w:szCs w:val="21"/>
              </w:rPr>
              <w:t>是，由评标委员会推荐3名中标候选人。</w:t>
            </w:r>
          </w:p>
        </w:tc>
      </w:tr>
      <w:tr w14:paraId="02356047">
        <w:tblPrEx>
          <w:tblCellMar>
            <w:top w:w="0" w:type="dxa"/>
            <w:left w:w="0" w:type="dxa"/>
            <w:bottom w:w="0" w:type="dxa"/>
            <w:right w:w="0" w:type="dxa"/>
          </w:tblCellMar>
        </w:tblPrEx>
        <w:trPr>
          <w:trHeight w:val="370"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463B4F8A">
            <w:pPr>
              <w:spacing w:line="440" w:lineRule="exact"/>
              <w:jc w:val="center"/>
              <w:rPr>
                <w:rFonts w:ascii="宋体" w:hAnsi="宋体" w:cs="宋体"/>
                <w:color w:val="auto"/>
                <w:kern w:val="0"/>
                <w:szCs w:val="21"/>
              </w:rPr>
            </w:pPr>
            <w:r>
              <w:rPr>
                <w:rFonts w:hint="eastAsia" w:ascii="宋体" w:hAnsi="宋体" w:cs="宋体"/>
                <w:color w:val="auto"/>
                <w:kern w:val="0"/>
                <w:szCs w:val="21"/>
              </w:rPr>
              <w:t>18</w:t>
            </w:r>
          </w:p>
        </w:tc>
        <w:tc>
          <w:tcPr>
            <w:tcW w:w="1688" w:type="dxa"/>
            <w:tcBorders>
              <w:top w:val="single" w:color="auto" w:sz="4" w:space="0"/>
              <w:left w:val="single" w:color="auto" w:sz="4" w:space="0"/>
              <w:bottom w:val="single" w:color="auto" w:sz="4" w:space="0"/>
              <w:right w:val="single" w:color="auto" w:sz="4" w:space="0"/>
            </w:tcBorders>
            <w:vAlign w:val="center"/>
          </w:tcPr>
          <w:p w14:paraId="51878716">
            <w:pPr>
              <w:pStyle w:val="12"/>
              <w:wordWrap w:val="0"/>
              <w:spacing w:line="440" w:lineRule="exact"/>
              <w:jc w:val="center"/>
              <w:rPr>
                <w:rFonts w:hAnsi="宋体" w:cs="宋体"/>
                <w:color w:val="auto"/>
                <w:szCs w:val="21"/>
              </w:rPr>
            </w:pPr>
            <w:r>
              <w:rPr>
                <w:rFonts w:hint="eastAsia" w:hAnsi="宋体" w:cs="宋体"/>
                <w:color w:val="auto"/>
                <w:szCs w:val="21"/>
              </w:rPr>
              <w:t>成交结果公告媒介</w:t>
            </w:r>
          </w:p>
        </w:tc>
        <w:tc>
          <w:tcPr>
            <w:tcW w:w="7827" w:type="dxa"/>
            <w:tcBorders>
              <w:top w:val="single" w:color="auto" w:sz="4" w:space="0"/>
              <w:left w:val="single" w:color="auto" w:sz="4" w:space="0"/>
              <w:bottom w:val="single" w:color="auto" w:sz="4" w:space="0"/>
              <w:right w:val="single" w:color="auto" w:sz="8" w:space="0"/>
            </w:tcBorders>
            <w:vAlign w:val="center"/>
          </w:tcPr>
          <w:p w14:paraId="0C674D07">
            <w:pPr>
              <w:rPr>
                <w:rFonts w:hAnsi="宋体" w:cs="宋体"/>
                <w:color w:val="auto"/>
                <w:szCs w:val="21"/>
              </w:rPr>
            </w:pPr>
            <w:r>
              <w:rPr>
                <w:rFonts w:hint="eastAsia" w:ascii="宋体" w:hAnsi="宋体" w:eastAsia="宋体" w:cs="宋体"/>
                <w:color w:val="auto"/>
                <w:kern w:val="2"/>
                <w:sz w:val="21"/>
                <w:szCs w:val="21"/>
                <w:u w:color="000000"/>
                <w:lang w:val="en-US" w:eastAsia="zh-CN" w:bidi="ar-SA"/>
              </w:rPr>
              <w:t>滁州开放大学（http://www.czou.ah.cn/）公告栏</w:t>
            </w:r>
          </w:p>
        </w:tc>
      </w:tr>
      <w:tr w14:paraId="4D21FA1A">
        <w:tblPrEx>
          <w:tblCellMar>
            <w:top w:w="0" w:type="dxa"/>
            <w:left w:w="0" w:type="dxa"/>
            <w:bottom w:w="0" w:type="dxa"/>
            <w:right w:w="0" w:type="dxa"/>
          </w:tblCellMar>
        </w:tblPrEx>
        <w:trPr>
          <w:trHeight w:val="370"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63875224">
            <w:pPr>
              <w:spacing w:line="4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18.1</w:t>
            </w:r>
          </w:p>
        </w:tc>
        <w:tc>
          <w:tcPr>
            <w:tcW w:w="1688" w:type="dxa"/>
            <w:tcBorders>
              <w:top w:val="single" w:color="auto" w:sz="4" w:space="0"/>
              <w:left w:val="single" w:color="auto" w:sz="4" w:space="0"/>
              <w:bottom w:val="single" w:color="auto" w:sz="4" w:space="0"/>
              <w:right w:val="single" w:color="auto" w:sz="4" w:space="0"/>
            </w:tcBorders>
            <w:vAlign w:val="center"/>
          </w:tcPr>
          <w:p w14:paraId="61155219">
            <w:pPr>
              <w:keepNext/>
              <w:wordWrap w:val="0"/>
              <w:spacing w:line="300" w:lineRule="exact"/>
              <w:rPr>
                <w:rFonts w:hint="eastAsia" w:hAnsi="宋体" w:cs="宋体"/>
                <w:color w:val="auto"/>
                <w:szCs w:val="21"/>
              </w:rPr>
            </w:pPr>
            <w:r>
              <w:rPr>
                <w:rFonts w:hint="eastAsia" w:ascii="宋体" w:hAnsi="宋体" w:cs="宋体"/>
                <w:bCs/>
                <w:color w:val="000000"/>
                <w:szCs w:val="21"/>
                <w:highlight w:val="none"/>
              </w:rPr>
              <w:t>中标通知书</w:t>
            </w:r>
          </w:p>
        </w:tc>
        <w:tc>
          <w:tcPr>
            <w:tcW w:w="7827" w:type="dxa"/>
            <w:tcBorders>
              <w:top w:val="single" w:color="auto" w:sz="4" w:space="0"/>
              <w:left w:val="single" w:color="auto" w:sz="4" w:space="0"/>
              <w:bottom w:val="single" w:color="auto" w:sz="4" w:space="0"/>
              <w:right w:val="single" w:color="auto" w:sz="8" w:space="0"/>
            </w:tcBorders>
            <w:vAlign w:val="center"/>
          </w:tcPr>
          <w:p w14:paraId="438CD405">
            <w:pPr>
              <w:keepNext/>
              <w:wordWrap w:val="0"/>
              <w:spacing w:line="300" w:lineRule="exact"/>
              <w:rPr>
                <w:rFonts w:hint="eastAsia" w:ascii="宋体" w:hAnsi="宋体" w:eastAsia="宋体" w:cs="宋体"/>
                <w:color w:val="auto"/>
                <w:kern w:val="2"/>
                <w:sz w:val="21"/>
                <w:szCs w:val="21"/>
                <w:u w:color="000000"/>
                <w:lang w:val="en-US" w:eastAsia="zh-CN" w:bidi="ar-SA"/>
              </w:rPr>
            </w:pPr>
            <w:r>
              <w:rPr>
                <w:rFonts w:hint="eastAsia" w:ascii="宋体" w:cs="宋体"/>
                <w:color w:val="000000"/>
                <w:szCs w:val="21"/>
                <w:highlight w:val="none"/>
              </w:rPr>
              <w:t>中标通知书须加盖采购人公章后方可发出。</w:t>
            </w:r>
          </w:p>
        </w:tc>
      </w:tr>
      <w:tr w14:paraId="64E19267">
        <w:tblPrEx>
          <w:tblCellMar>
            <w:top w:w="0" w:type="dxa"/>
            <w:left w:w="0" w:type="dxa"/>
            <w:bottom w:w="0" w:type="dxa"/>
            <w:right w:w="0" w:type="dxa"/>
          </w:tblCellMar>
        </w:tblPrEx>
        <w:trPr>
          <w:trHeight w:val="992"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38E6871D">
            <w:pPr>
              <w:spacing w:line="440" w:lineRule="exact"/>
              <w:jc w:val="center"/>
              <w:rPr>
                <w:rFonts w:ascii="宋体" w:hAnsi="宋体" w:cs="宋体"/>
                <w:color w:val="auto"/>
                <w:kern w:val="0"/>
                <w:szCs w:val="21"/>
              </w:rPr>
            </w:pPr>
            <w:r>
              <w:rPr>
                <w:rFonts w:hint="eastAsia" w:ascii="宋体" w:hAnsi="宋体" w:cs="宋体"/>
                <w:color w:val="auto"/>
                <w:kern w:val="0"/>
                <w:szCs w:val="21"/>
              </w:rPr>
              <w:t>19</w:t>
            </w:r>
          </w:p>
        </w:tc>
        <w:tc>
          <w:tcPr>
            <w:tcW w:w="1688" w:type="dxa"/>
            <w:tcBorders>
              <w:top w:val="single" w:color="auto" w:sz="4" w:space="0"/>
              <w:left w:val="single" w:color="auto" w:sz="4" w:space="0"/>
              <w:bottom w:val="single" w:color="auto" w:sz="4" w:space="0"/>
              <w:right w:val="single" w:color="auto" w:sz="4" w:space="0"/>
            </w:tcBorders>
            <w:vAlign w:val="center"/>
          </w:tcPr>
          <w:p w14:paraId="66D0D265">
            <w:pPr>
              <w:spacing w:line="440" w:lineRule="exact"/>
              <w:rPr>
                <w:rFonts w:ascii="宋体" w:hAnsi="宋体" w:cs="宋体"/>
                <w:color w:val="auto"/>
                <w:szCs w:val="21"/>
              </w:rPr>
            </w:pPr>
            <w:r>
              <w:rPr>
                <w:rFonts w:hint="eastAsia" w:ascii="宋体" w:hAnsi="宋体" w:cs="宋体"/>
                <w:color w:val="auto"/>
                <w:szCs w:val="21"/>
              </w:rPr>
              <w:t>招标代理费</w:t>
            </w:r>
          </w:p>
        </w:tc>
        <w:tc>
          <w:tcPr>
            <w:tcW w:w="7827" w:type="dxa"/>
            <w:tcBorders>
              <w:top w:val="single" w:color="auto" w:sz="4" w:space="0"/>
              <w:left w:val="single" w:color="auto" w:sz="4" w:space="0"/>
              <w:bottom w:val="single" w:color="auto" w:sz="4" w:space="0"/>
              <w:right w:val="single" w:color="auto" w:sz="8" w:space="0"/>
            </w:tcBorders>
            <w:vAlign w:val="center"/>
          </w:tcPr>
          <w:p w14:paraId="568AD2A9">
            <w:pPr>
              <w:spacing w:line="440" w:lineRule="exact"/>
              <w:jc w:val="left"/>
              <w:rPr>
                <w:rFonts w:ascii="宋体" w:hAnsi="宋体" w:cs="宋体"/>
                <w:color w:val="auto"/>
                <w:szCs w:val="21"/>
              </w:rPr>
            </w:pPr>
            <w:r>
              <w:rPr>
                <w:rFonts w:hint="eastAsia" w:ascii="宋体" w:hAnsi="宋体" w:cs="宋体"/>
                <w:color w:val="auto"/>
                <w:szCs w:val="21"/>
              </w:rPr>
              <w:t>招标代理服务费用按</w:t>
            </w:r>
            <w:r>
              <w:rPr>
                <w:rFonts w:hint="eastAsia" w:ascii="宋体" w:hAnsi="宋体" w:cs="宋体"/>
                <w:color w:val="auto"/>
                <w:szCs w:val="21"/>
                <w:lang w:val="en-US" w:eastAsia="zh-CN"/>
              </w:rPr>
              <w:t>2</w:t>
            </w:r>
            <w:r>
              <w:rPr>
                <w:rFonts w:hint="eastAsia" w:ascii="宋体" w:hAnsi="宋体" w:cs="宋体"/>
                <w:color w:val="auto"/>
                <w:szCs w:val="21"/>
              </w:rPr>
              <w:t>000元，费用由中标单位在领取中标通知书前一次性支付给代理机构。</w:t>
            </w:r>
          </w:p>
        </w:tc>
      </w:tr>
      <w:tr w14:paraId="4B66085F">
        <w:tblPrEx>
          <w:tblCellMar>
            <w:top w:w="0" w:type="dxa"/>
            <w:left w:w="0" w:type="dxa"/>
            <w:bottom w:w="0" w:type="dxa"/>
            <w:right w:w="0" w:type="dxa"/>
          </w:tblCellMar>
        </w:tblPrEx>
        <w:trPr>
          <w:trHeight w:val="992"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6255330C">
            <w:pPr>
              <w:spacing w:line="4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19.1</w:t>
            </w:r>
          </w:p>
        </w:tc>
        <w:tc>
          <w:tcPr>
            <w:tcW w:w="1688" w:type="dxa"/>
            <w:tcBorders>
              <w:top w:val="single" w:color="auto" w:sz="4" w:space="0"/>
              <w:left w:val="single" w:color="auto" w:sz="4" w:space="0"/>
              <w:bottom w:val="single" w:color="auto" w:sz="4" w:space="0"/>
              <w:right w:val="single" w:color="auto" w:sz="4" w:space="0"/>
            </w:tcBorders>
            <w:vAlign w:val="center"/>
          </w:tcPr>
          <w:p w14:paraId="23B17E23">
            <w:pPr>
              <w:keepNext/>
              <w:wordWrap w:val="0"/>
              <w:spacing w:line="300" w:lineRule="exact"/>
              <w:rPr>
                <w:rFonts w:hint="eastAsia" w:ascii="宋体" w:hAnsi="宋体" w:cs="宋体"/>
                <w:color w:val="auto"/>
                <w:szCs w:val="21"/>
              </w:rPr>
            </w:pPr>
            <w:r>
              <w:rPr>
                <w:rFonts w:hint="eastAsia" w:ascii="宋体" w:hAnsi="宋体" w:cs="宋体"/>
                <w:bCs/>
                <w:color w:val="000000"/>
                <w:szCs w:val="21"/>
                <w:highlight w:val="none"/>
                <w:lang w:val="en-US" w:eastAsia="zh-CN"/>
              </w:rPr>
              <w:t>专家评审费</w:t>
            </w:r>
          </w:p>
        </w:tc>
        <w:tc>
          <w:tcPr>
            <w:tcW w:w="7827" w:type="dxa"/>
            <w:tcBorders>
              <w:top w:val="single" w:color="auto" w:sz="4" w:space="0"/>
              <w:left w:val="single" w:color="auto" w:sz="4" w:space="0"/>
              <w:bottom w:val="single" w:color="auto" w:sz="4" w:space="0"/>
              <w:right w:val="single" w:color="auto" w:sz="8" w:space="0"/>
            </w:tcBorders>
            <w:vAlign w:val="center"/>
          </w:tcPr>
          <w:p w14:paraId="61B2CF99">
            <w:pPr>
              <w:keepNext/>
              <w:wordWrap w:val="0"/>
              <w:spacing w:line="30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专家评审费用按实结算；</w:t>
            </w:r>
          </w:p>
          <w:p w14:paraId="7F4C3141">
            <w:pPr>
              <w:keepNext/>
              <w:wordWrap w:val="0"/>
              <w:spacing w:line="300" w:lineRule="exact"/>
              <w:rPr>
                <w:rFonts w:hint="eastAsia" w:ascii="宋体" w:hAnsi="宋体" w:cs="宋体"/>
                <w:color w:val="auto"/>
                <w:szCs w:val="21"/>
              </w:rPr>
            </w:pPr>
            <w:r>
              <w:rPr>
                <w:rFonts w:hint="eastAsia" w:ascii="宋体" w:hAnsi="宋体" w:cs="宋体"/>
                <w:color w:val="000000"/>
                <w:szCs w:val="21"/>
                <w:highlight w:val="none"/>
              </w:rPr>
              <w:t>支付主体：采购人</w:t>
            </w:r>
          </w:p>
        </w:tc>
      </w:tr>
      <w:tr w14:paraId="66302E21">
        <w:tblPrEx>
          <w:tblCellMar>
            <w:top w:w="0" w:type="dxa"/>
            <w:left w:w="0" w:type="dxa"/>
            <w:bottom w:w="0" w:type="dxa"/>
            <w:right w:w="0" w:type="dxa"/>
          </w:tblCellMar>
        </w:tblPrEx>
        <w:trPr>
          <w:trHeight w:val="1084" w:hRule="atLeast"/>
          <w:jc w:val="center"/>
        </w:trPr>
        <w:tc>
          <w:tcPr>
            <w:tcW w:w="603" w:type="dxa"/>
            <w:tcBorders>
              <w:top w:val="single" w:color="auto" w:sz="4" w:space="0"/>
              <w:left w:val="single" w:color="auto" w:sz="8" w:space="0"/>
              <w:bottom w:val="single" w:color="auto" w:sz="4" w:space="0"/>
              <w:right w:val="single" w:color="auto" w:sz="8" w:space="0"/>
            </w:tcBorders>
            <w:vAlign w:val="center"/>
          </w:tcPr>
          <w:p w14:paraId="3958AA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688" w:type="dxa"/>
            <w:tcBorders>
              <w:top w:val="single" w:color="auto" w:sz="4" w:space="0"/>
              <w:left w:val="single" w:color="auto" w:sz="4" w:space="0"/>
              <w:bottom w:val="single" w:color="auto" w:sz="4" w:space="0"/>
              <w:right w:val="single" w:color="auto" w:sz="4" w:space="0"/>
            </w:tcBorders>
            <w:vAlign w:val="center"/>
          </w:tcPr>
          <w:p w14:paraId="73020714">
            <w:pPr>
              <w:spacing w:line="440" w:lineRule="exact"/>
              <w:jc w:val="both"/>
              <w:rPr>
                <w:rFonts w:ascii="宋体" w:hAnsi="宋体" w:cs="宋体"/>
                <w:color w:val="auto"/>
                <w:kern w:val="0"/>
                <w:szCs w:val="21"/>
                <w:highlight w:val="none"/>
              </w:rPr>
            </w:pPr>
            <w:r>
              <w:rPr>
                <w:rFonts w:hint="eastAsia" w:ascii="宋体" w:hAnsi="宋体" w:cs="宋体"/>
                <w:color w:val="auto"/>
                <w:kern w:val="0"/>
                <w:szCs w:val="21"/>
                <w:highlight w:val="none"/>
              </w:rPr>
              <w:t xml:space="preserve"> 付款方式</w:t>
            </w:r>
          </w:p>
        </w:tc>
        <w:tc>
          <w:tcPr>
            <w:tcW w:w="7827" w:type="dxa"/>
            <w:tcBorders>
              <w:top w:val="single" w:color="auto" w:sz="4" w:space="0"/>
              <w:left w:val="single" w:color="auto" w:sz="4" w:space="0"/>
              <w:bottom w:val="single" w:color="auto" w:sz="4" w:space="0"/>
              <w:right w:val="single" w:color="auto" w:sz="8" w:space="0"/>
            </w:tcBorders>
            <w:vAlign w:val="center"/>
          </w:tcPr>
          <w:p w14:paraId="416A9C90">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合同签订生效</w:t>
            </w:r>
            <w:r>
              <w:rPr>
                <w:rFonts w:hint="eastAsia" w:ascii="宋体" w:hAnsi="宋体" w:cs="宋体"/>
                <w:color w:val="auto"/>
                <w:szCs w:val="21"/>
                <w:highlight w:val="none"/>
                <w:lang w:eastAsia="zh-CN"/>
              </w:rPr>
              <w:t>后，服务完毕并经验收合格后一次性付清</w:t>
            </w:r>
            <w:r>
              <w:rPr>
                <w:rFonts w:hint="eastAsia" w:ascii="宋体" w:hAnsi="宋体" w:cs="宋体"/>
                <w:color w:val="auto"/>
                <w:szCs w:val="21"/>
                <w:highlight w:val="none"/>
                <w:lang w:val="en-US" w:eastAsia="zh-CN"/>
              </w:rPr>
              <w:t>。</w:t>
            </w:r>
          </w:p>
        </w:tc>
      </w:tr>
      <w:tr w14:paraId="62D55633">
        <w:tblPrEx>
          <w:tblCellMar>
            <w:top w:w="0" w:type="dxa"/>
            <w:left w:w="0" w:type="dxa"/>
            <w:bottom w:w="0" w:type="dxa"/>
            <w:right w:w="0" w:type="dxa"/>
          </w:tblCellMar>
        </w:tblPrEx>
        <w:trPr>
          <w:trHeight w:val="90" w:hRule="atLeast"/>
          <w:jc w:val="center"/>
        </w:trPr>
        <w:tc>
          <w:tcPr>
            <w:tcW w:w="2291" w:type="dxa"/>
            <w:gridSpan w:val="2"/>
            <w:tcBorders>
              <w:top w:val="single" w:color="auto" w:sz="4" w:space="0"/>
              <w:left w:val="single" w:color="auto" w:sz="8" w:space="0"/>
              <w:bottom w:val="single" w:color="auto" w:sz="4" w:space="0"/>
              <w:right w:val="single" w:color="auto" w:sz="4" w:space="0"/>
            </w:tcBorders>
            <w:vAlign w:val="center"/>
          </w:tcPr>
          <w:p w14:paraId="0A2B3310">
            <w:pPr>
              <w:keepNext/>
              <w:wordWrap w:val="0"/>
              <w:spacing w:line="300" w:lineRule="exact"/>
              <w:rPr>
                <w:rFonts w:hint="eastAsia" w:ascii="宋体" w:hAnsi="宋体" w:cs="宋体"/>
                <w:color w:val="auto"/>
                <w:kern w:val="0"/>
                <w:szCs w:val="21"/>
                <w:highlight w:val="yellow"/>
              </w:rPr>
            </w:pPr>
            <w:r>
              <w:rPr>
                <w:rFonts w:hint="eastAsia" w:ascii="宋体" w:hAnsi="宋体" w:cs="宋体"/>
                <w:bCs/>
                <w:color w:val="000000"/>
                <w:szCs w:val="21"/>
                <w:highlight w:val="none"/>
              </w:rPr>
              <w:t>报名及招标文件领取</w:t>
            </w:r>
          </w:p>
        </w:tc>
        <w:tc>
          <w:tcPr>
            <w:tcW w:w="7827" w:type="dxa"/>
            <w:tcBorders>
              <w:top w:val="single" w:color="auto" w:sz="4" w:space="0"/>
              <w:left w:val="single" w:color="auto" w:sz="4" w:space="0"/>
              <w:bottom w:val="single" w:color="auto" w:sz="4" w:space="0"/>
              <w:right w:val="single" w:color="auto" w:sz="8" w:space="0"/>
            </w:tcBorders>
            <w:vAlign w:val="top"/>
          </w:tcPr>
          <w:p w14:paraId="543ACADF">
            <w:pPr>
              <w:keepNext/>
              <w:wordWrap w:val="0"/>
              <w:topLinePunct/>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报名方式：本项目不实行报名制度，投标人自行下载招标文件参与投标</w:t>
            </w:r>
          </w:p>
          <w:p w14:paraId="45ABDB1B">
            <w:pPr>
              <w:keepNext/>
              <w:wordWrap w:val="0"/>
              <w:spacing w:line="300" w:lineRule="exact"/>
              <w:rPr>
                <w:rFonts w:hint="eastAsia" w:ascii="宋体" w:hAnsi="宋体" w:cs="宋体"/>
                <w:color w:val="auto"/>
                <w:szCs w:val="21"/>
                <w:highlight w:val="yellow"/>
              </w:rPr>
            </w:pPr>
            <w:r>
              <w:rPr>
                <w:rFonts w:hint="eastAsia" w:ascii="宋体" w:hAnsi="宋体" w:cs="宋体"/>
                <w:color w:val="000000"/>
                <w:szCs w:val="21"/>
                <w:highlight w:val="none"/>
              </w:rPr>
              <w:t>招标文件领取方式：网上下载</w:t>
            </w:r>
          </w:p>
        </w:tc>
      </w:tr>
      <w:tr w14:paraId="3E2E0CB7">
        <w:tblPrEx>
          <w:tblCellMar>
            <w:top w:w="0" w:type="dxa"/>
            <w:left w:w="0" w:type="dxa"/>
            <w:bottom w:w="0" w:type="dxa"/>
            <w:right w:w="0" w:type="dxa"/>
          </w:tblCellMar>
        </w:tblPrEx>
        <w:trPr>
          <w:trHeight w:val="90" w:hRule="atLeast"/>
          <w:jc w:val="center"/>
        </w:trPr>
        <w:tc>
          <w:tcPr>
            <w:tcW w:w="2291" w:type="dxa"/>
            <w:gridSpan w:val="2"/>
            <w:tcBorders>
              <w:top w:val="single" w:color="auto" w:sz="4" w:space="0"/>
              <w:left w:val="single" w:color="auto" w:sz="8" w:space="0"/>
              <w:bottom w:val="single" w:color="auto" w:sz="4" w:space="0"/>
              <w:right w:val="single" w:color="auto" w:sz="4" w:space="0"/>
            </w:tcBorders>
            <w:vAlign w:val="center"/>
          </w:tcPr>
          <w:p w14:paraId="38C82B51">
            <w:pPr>
              <w:keepNext/>
              <w:wordWrap w:val="0"/>
              <w:spacing w:line="340" w:lineRule="exact"/>
              <w:rPr>
                <w:rFonts w:hint="eastAsia" w:ascii="Times New Roman" w:hAnsi="Times New Roman" w:cs="Times New Roman"/>
                <w:color w:val="000000"/>
                <w:highlight w:val="none"/>
              </w:rPr>
            </w:pPr>
            <w:r>
              <w:rPr>
                <w:rFonts w:hint="eastAsia" w:ascii="Times New Roman" w:hAnsi="Times New Roman" w:cs="Times New Roman"/>
                <w:color w:val="000000"/>
                <w:highlight w:val="none"/>
              </w:rPr>
              <w:t>到会审查要求</w:t>
            </w:r>
          </w:p>
        </w:tc>
        <w:tc>
          <w:tcPr>
            <w:tcW w:w="7827" w:type="dxa"/>
            <w:tcBorders>
              <w:top w:val="single" w:color="auto" w:sz="4" w:space="0"/>
              <w:left w:val="single" w:color="auto" w:sz="4" w:space="0"/>
              <w:bottom w:val="single" w:color="auto" w:sz="4" w:space="0"/>
              <w:right w:val="single" w:color="auto" w:sz="8" w:space="0"/>
            </w:tcBorders>
            <w:vAlign w:val="center"/>
          </w:tcPr>
          <w:p w14:paraId="7E326452">
            <w:pPr>
              <w:keepNext/>
              <w:wordWrap w:val="0"/>
              <w:spacing w:line="340" w:lineRule="exact"/>
              <w:rPr>
                <w:rFonts w:hint="eastAsia" w:ascii="Times New Roman" w:hAnsi="Times New Roman" w:cs="Times New Roman"/>
                <w:color w:val="000000"/>
                <w:highlight w:val="none"/>
              </w:rPr>
            </w:pPr>
            <w:r>
              <w:rPr>
                <w:rFonts w:hint="eastAsia" w:ascii="Times New Roman" w:hAnsi="Times New Roman" w:cs="Times New Roman"/>
                <w:color w:val="000000"/>
                <w:highlight w:val="none"/>
              </w:rPr>
              <w:t>投标人应派授权代表（授权委托人或法定代表人）准时递交投标文件和出席开标会议。递交投标文件和出席开标会议时，如为授权委托人参加须携带有效身份证原件和授权委托书审查，如为法定代表人参加须携带有效身份证原件和法定代表人身份证明审查。</w:t>
            </w:r>
          </w:p>
        </w:tc>
      </w:tr>
      <w:tr w14:paraId="668632B2">
        <w:tblPrEx>
          <w:tblCellMar>
            <w:top w:w="0" w:type="dxa"/>
            <w:left w:w="0" w:type="dxa"/>
            <w:bottom w:w="0" w:type="dxa"/>
            <w:right w:w="0" w:type="dxa"/>
          </w:tblCellMar>
        </w:tblPrEx>
        <w:trPr>
          <w:trHeight w:val="1084" w:hRule="atLeast"/>
          <w:jc w:val="center"/>
        </w:trPr>
        <w:tc>
          <w:tcPr>
            <w:tcW w:w="2291" w:type="dxa"/>
            <w:gridSpan w:val="2"/>
            <w:tcBorders>
              <w:top w:val="single" w:color="auto" w:sz="4" w:space="0"/>
              <w:left w:val="single" w:color="auto" w:sz="8" w:space="0"/>
              <w:bottom w:val="single" w:color="auto" w:sz="4" w:space="0"/>
              <w:right w:val="single" w:color="auto" w:sz="4" w:space="0"/>
            </w:tcBorders>
            <w:vAlign w:val="center"/>
          </w:tcPr>
          <w:p w14:paraId="58F4800D">
            <w:pPr>
              <w:keepNext/>
              <w:wordWrap w:val="0"/>
              <w:spacing w:line="300" w:lineRule="exact"/>
              <w:jc w:val="left"/>
              <w:rPr>
                <w:rFonts w:hint="eastAsia" w:ascii="宋体" w:hAnsi="宋体" w:cs="宋体"/>
                <w:color w:val="auto"/>
                <w:kern w:val="0"/>
                <w:szCs w:val="21"/>
                <w:highlight w:val="yellow"/>
              </w:rPr>
            </w:pPr>
            <w:r>
              <w:rPr>
                <w:rFonts w:hint="eastAsia" w:ascii="宋体" w:hAnsi="宋体" w:cs="宋体"/>
                <w:bCs/>
                <w:color w:val="000000"/>
                <w:szCs w:val="21"/>
                <w:highlight w:val="none"/>
              </w:rPr>
              <w:t>备注</w:t>
            </w:r>
          </w:p>
        </w:tc>
        <w:tc>
          <w:tcPr>
            <w:tcW w:w="7827" w:type="dxa"/>
            <w:tcBorders>
              <w:top w:val="single" w:color="auto" w:sz="4" w:space="0"/>
              <w:left w:val="single" w:color="auto" w:sz="4" w:space="0"/>
              <w:bottom w:val="single" w:color="auto" w:sz="4" w:space="0"/>
              <w:right w:val="single" w:color="auto" w:sz="8" w:space="0"/>
            </w:tcBorders>
            <w:vAlign w:val="top"/>
          </w:tcPr>
          <w:p w14:paraId="309FFC9F">
            <w:pPr>
              <w:keepNext/>
              <w:wordWrap w:val="0"/>
              <w:spacing w:line="340" w:lineRule="exact"/>
              <w:rPr>
                <w:rFonts w:hint="eastAsia"/>
                <w:color w:val="000000"/>
                <w:highlight w:val="none"/>
              </w:rPr>
            </w:pPr>
            <w:r>
              <w:rPr>
                <w:rFonts w:hint="eastAsia"/>
                <w:color w:val="000000"/>
                <w:highlight w:val="none"/>
              </w:rPr>
              <w:t>1本招标文件前后条款若有不一致之处，在澄清答疑时又未作出明确时，各投标人的投标文件只要满足其中任一条款均视为对招标文件的响应。</w:t>
            </w:r>
          </w:p>
          <w:p w14:paraId="248B5A24">
            <w:pPr>
              <w:keepNext/>
              <w:wordWrap w:val="0"/>
              <w:spacing w:line="340" w:lineRule="exact"/>
              <w:rPr>
                <w:rFonts w:hint="eastAsia" w:ascii="Times New Roman" w:hAnsi="Times New Roman"/>
                <w:color w:val="000000"/>
                <w:highlight w:val="none"/>
              </w:rPr>
            </w:pPr>
            <w:r>
              <w:rPr>
                <w:rFonts w:hint="eastAsia"/>
                <w:color w:val="000000"/>
                <w:highlight w:val="none"/>
                <w:lang w:val="en-US" w:eastAsia="zh-CN"/>
              </w:rPr>
              <w:t>2</w:t>
            </w:r>
            <w:r>
              <w:rPr>
                <w:rFonts w:hint="eastAsia"/>
                <w:color w:val="000000"/>
                <w:highlight w:val="none"/>
              </w:rPr>
              <w:t>.评</w:t>
            </w:r>
            <w:r>
              <w:rPr>
                <w:rFonts w:hint="eastAsia" w:ascii="Times New Roman" w:hAnsi="Times New Roman"/>
                <w:color w:val="000000"/>
                <w:highlight w:val="none"/>
              </w:rPr>
              <w:t>标委员会只依靠投标人递交的投标文件及其按照招标文件要求提供的所有证明材料进行评审，而不依靠任何外来的证明材料。</w:t>
            </w:r>
          </w:p>
          <w:p w14:paraId="1871A860">
            <w:pPr>
              <w:keepNext/>
              <w:wordWrap w:val="0"/>
              <w:spacing w:line="340" w:lineRule="exact"/>
              <w:rPr>
                <w:rFonts w:hint="eastAsia" w:ascii="宋体" w:hAnsi="宋体" w:cs="宋体"/>
                <w:color w:val="auto"/>
                <w:szCs w:val="21"/>
                <w:highlight w:val="yellow"/>
              </w:rPr>
            </w:pPr>
            <w:r>
              <w:rPr>
                <w:rFonts w:hint="eastAsia" w:ascii="Times New Roman" w:hAnsi="Times New Roman"/>
                <w:color w:val="000000"/>
                <w:highlight w:val="none"/>
                <w:lang w:val="en-US" w:eastAsia="zh-CN"/>
              </w:rPr>
              <w:t>3</w:t>
            </w:r>
            <w:r>
              <w:rPr>
                <w:rFonts w:hint="eastAsia" w:ascii="Times New Roman" w:hAnsi="Times New Roman"/>
                <w:color w:val="000000"/>
                <w:highlight w:val="none"/>
              </w:rPr>
              <w:t>.本文件的最终解释权归采购人、</w:t>
            </w:r>
            <w:r>
              <w:rPr>
                <w:rFonts w:hint="eastAsia" w:ascii="Times New Roman" w:hAnsi="Times New Roman"/>
                <w:color w:val="000000"/>
                <w:highlight w:val="none"/>
                <w:lang w:eastAsia="zh-CN"/>
              </w:rPr>
              <w:t>采购代理机构</w:t>
            </w:r>
            <w:r>
              <w:rPr>
                <w:rFonts w:hint="eastAsia" w:ascii="Times New Roman" w:hAnsi="Times New Roman"/>
                <w:color w:val="000000"/>
                <w:highlight w:val="none"/>
              </w:rPr>
              <w:t>所有。</w:t>
            </w:r>
            <w:r>
              <w:rPr>
                <w:rFonts w:hint="eastAsia"/>
                <w:color w:val="000000"/>
                <w:highlight w:val="none"/>
              </w:rPr>
              <w:t xml:space="preserve"> </w:t>
            </w:r>
          </w:p>
        </w:tc>
      </w:tr>
    </w:tbl>
    <w:p w14:paraId="5EF62145">
      <w:pPr>
        <w:spacing w:before="162" w:beforeLines="50" w:after="162" w:afterLines="50" w:line="440" w:lineRule="exact"/>
        <w:jc w:val="center"/>
        <w:rPr>
          <w:rFonts w:ascii="宋体" w:hAnsi="宋体" w:cs="宋体"/>
          <w:b/>
          <w:color w:val="auto"/>
          <w:sz w:val="32"/>
          <w:szCs w:val="32"/>
        </w:rPr>
      </w:pPr>
    </w:p>
    <w:p w14:paraId="5DA14E7D">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0E7D405F">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15784643">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14B15BD8">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6657D2C2">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41C5FDBC">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4D084FA8">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6D3CE132">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1B417DE5">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2CA4E183">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260AAE75">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4A5EA1E6">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2B04C4C2">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036110F5">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5C3CA72B">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3D865445">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04BC2680">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339B945F">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9"/>
        <w:rPr>
          <w:rFonts w:hint="eastAsia" w:ascii="宋体"/>
          <w:b/>
          <w:color w:val="000000"/>
          <w:sz w:val="28"/>
          <w:highlight w:val="none"/>
        </w:rPr>
      </w:pPr>
    </w:p>
    <w:p w14:paraId="36709CF1">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1"/>
        <w:rPr>
          <w:rFonts w:hint="eastAsia" w:ascii="宋体"/>
          <w:b/>
          <w:color w:val="000000"/>
          <w:sz w:val="28"/>
          <w:highlight w:val="none"/>
        </w:rPr>
      </w:pPr>
      <w:r>
        <w:rPr>
          <w:rFonts w:hint="eastAsia" w:ascii="宋体"/>
          <w:b/>
          <w:color w:val="000000"/>
          <w:sz w:val="28"/>
          <w:highlight w:val="none"/>
        </w:rPr>
        <w:t>二、投标人须知</w:t>
      </w:r>
    </w:p>
    <w:p w14:paraId="56CEB12B">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8"/>
          <w:highlight w:val="none"/>
        </w:rPr>
      </w:pPr>
      <w:bookmarkStart w:id="30" w:name="_Toc131512193"/>
      <w:bookmarkStart w:id="31" w:name="_Toc14421_WPSOffice_Level3"/>
      <w:r>
        <w:rPr>
          <w:rFonts w:hint="eastAsia" w:ascii="宋体"/>
          <w:b/>
          <w:color w:val="000000"/>
          <w:sz w:val="28"/>
          <w:highlight w:val="none"/>
        </w:rPr>
        <w:t>（一）总  则</w:t>
      </w:r>
      <w:bookmarkEnd w:id="30"/>
      <w:bookmarkEnd w:id="31"/>
    </w:p>
    <w:p w14:paraId="4A415B50">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1.项目概况</w:t>
      </w:r>
    </w:p>
    <w:p w14:paraId="41E8CCC9">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u w:val="single" w:color="auto"/>
        </w:rPr>
      </w:pPr>
      <w:r>
        <w:rPr>
          <w:rFonts w:hint="eastAsia" w:ascii="宋体" w:cs="宋体"/>
          <w:color w:val="000000"/>
          <w:szCs w:val="21"/>
          <w:highlight w:val="none"/>
        </w:rPr>
        <w:t>1.1本次招标采购项目名称：见投标人须知前附表。</w:t>
      </w:r>
    </w:p>
    <w:p w14:paraId="5731A437">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 xml:space="preserve">                 采购人：见投标人须知前附表。</w:t>
      </w:r>
    </w:p>
    <w:p w14:paraId="2A9BB260">
      <w:pPr>
        <w:keepNext w:val="0"/>
        <w:keepLines w:val="0"/>
        <w:pageBreakBefore w:val="0"/>
        <w:kinsoku/>
        <w:overflowPunct/>
        <w:topLinePunct w:val="0"/>
        <w:autoSpaceDE/>
        <w:autoSpaceDN/>
        <w:bidi w:val="0"/>
        <w:snapToGrid w:val="0"/>
        <w:spacing w:line="390" w:lineRule="exact"/>
        <w:ind w:firstLine="2205" w:firstLineChars="1050"/>
        <w:rPr>
          <w:rFonts w:hint="eastAsia" w:ascii="宋体" w:cs="宋体"/>
          <w:color w:val="000000"/>
          <w:szCs w:val="21"/>
          <w:highlight w:val="none"/>
          <w:u w:val="single" w:color="auto"/>
        </w:rPr>
      </w:pPr>
      <w:r>
        <w:rPr>
          <w:rFonts w:hint="eastAsia" w:ascii="宋体" w:cs="宋体"/>
          <w:color w:val="000000"/>
          <w:szCs w:val="21"/>
          <w:highlight w:val="none"/>
        </w:rPr>
        <w:t>服务周期：见投标人须知前附表。</w:t>
      </w:r>
    </w:p>
    <w:p w14:paraId="420CA9C0">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 xml:space="preserve">                 服务地点：见投标人须知前附表。</w:t>
      </w:r>
    </w:p>
    <w:p w14:paraId="5578F0BF">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1.2采购人及联系人: 见投标人须知前附表。</w:t>
      </w:r>
    </w:p>
    <w:p w14:paraId="5BBA8FED">
      <w:pPr>
        <w:keepNext w:val="0"/>
        <w:keepLines w:val="0"/>
        <w:pageBreakBefore w:val="0"/>
        <w:kinsoku/>
        <w:overflowPunct/>
        <w:topLinePunct w:val="0"/>
        <w:autoSpaceDE/>
        <w:autoSpaceDN/>
        <w:bidi w:val="0"/>
        <w:snapToGrid w:val="0"/>
        <w:spacing w:line="390" w:lineRule="exact"/>
        <w:ind w:firstLine="840" w:firstLineChars="400"/>
        <w:rPr>
          <w:rFonts w:hint="eastAsia" w:ascii="宋体" w:cs="宋体"/>
          <w:color w:val="000000"/>
          <w:szCs w:val="21"/>
          <w:highlight w:val="none"/>
          <w:u w:val="single" w:color="auto"/>
        </w:rPr>
      </w:pPr>
      <w:r>
        <w:rPr>
          <w:rFonts w:hint="eastAsia" w:ascii="宋体" w:cs="宋体"/>
          <w:color w:val="000000"/>
          <w:szCs w:val="21"/>
          <w:highlight w:val="none"/>
        </w:rPr>
        <w:t>代理机构及联系人: 见投标人须知前附表。</w:t>
      </w:r>
    </w:p>
    <w:p w14:paraId="0EE72E1F">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1.3资金来源：见投标人须知前附表。</w:t>
      </w:r>
    </w:p>
    <w:p w14:paraId="35926723">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u w:val="single" w:color="auto"/>
        </w:rPr>
      </w:pPr>
      <w:r>
        <w:rPr>
          <w:rFonts w:hint="eastAsia" w:ascii="宋体" w:cs="宋体"/>
          <w:color w:val="000000"/>
          <w:szCs w:val="21"/>
          <w:highlight w:val="none"/>
        </w:rPr>
        <w:t>1.4本项目控制价（最高限价）：见投标人须知前附表。</w:t>
      </w:r>
    </w:p>
    <w:p w14:paraId="5FA3F82B">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2.招标范围：</w:t>
      </w:r>
    </w:p>
    <w:p w14:paraId="35DF5320">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u w:val="single" w:color="auto"/>
        </w:rPr>
      </w:pPr>
      <w:r>
        <w:rPr>
          <w:rFonts w:hint="eastAsia" w:ascii="宋体" w:cs="宋体"/>
          <w:color w:val="000000"/>
          <w:szCs w:val="21"/>
          <w:highlight w:val="none"/>
        </w:rPr>
        <w:t>2.1 采购内容：见投标人须知前附表。</w:t>
      </w:r>
    </w:p>
    <w:p w14:paraId="7B03CEFD">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2.2技术要求：详见招标文件第四章采购需求及</w:t>
      </w:r>
      <w:r>
        <w:rPr>
          <w:rFonts w:hint="eastAsia" w:ascii="宋体" w:cs="宋体"/>
          <w:color w:val="000000"/>
          <w:szCs w:val="21"/>
          <w:highlight w:val="none"/>
          <w:lang w:val="en-US" w:eastAsia="zh-CN"/>
        </w:rPr>
        <w:t>服务</w:t>
      </w:r>
      <w:r>
        <w:rPr>
          <w:rFonts w:hint="eastAsia" w:ascii="宋体" w:cs="宋体"/>
          <w:color w:val="000000"/>
          <w:szCs w:val="21"/>
          <w:highlight w:val="none"/>
        </w:rPr>
        <w:t>要求。</w:t>
      </w:r>
    </w:p>
    <w:p w14:paraId="2A66F992">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3.标段划分：</w:t>
      </w:r>
    </w:p>
    <w:p w14:paraId="183D12E5">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3.1本项目划分：</w:t>
      </w:r>
      <w:r>
        <w:rPr>
          <w:rFonts w:hint="eastAsia" w:ascii="宋体" w:cs="宋体"/>
          <w:color w:val="000000"/>
          <w:szCs w:val="21"/>
          <w:highlight w:val="none"/>
          <w:u w:val="single" w:color="auto"/>
        </w:rPr>
        <w:t xml:space="preserve">一个标段 </w:t>
      </w:r>
      <w:r>
        <w:rPr>
          <w:rFonts w:hint="eastAsia" w:ascii="宋体" w:cs="宋体"/>
          <w:color w:val="000000"/>
          <w:szCs w:val="21"/>
          <w:highlight w:val="none"/>
        </w:rPr>
        <w:t>。</w:t>
      </w:r>
    </w:p>
    <w:p w14:paraId="4535E533">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4.招标方式：</w:t>
      </w:r>
    </w:p>
    <w:p w14:paraId="724BCFB5">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4.1本项目招标方式：见投标人须知前附表。</w:t>
      </w:r>
    </w:p>
    <w:p w14:paraId="27543B3C">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5.计价方式：</w:t>
      </w:r>
    </w:p>
    <w:p w14:paraId="100C6E82">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5.1本次招标项目合同采用</w:t>
      </w:r>
      <w:r>
        <w:rPr>
          <w:rFonts w:hint="eastAsia" w:ascii="宋体" w:cs="宋体"/>
          <w:color w:val="000000"/>
          <w:szCs w:val="21"/>
          <w:highlight w:val="none"/>
          <w:u w:val="single"/>
        </w:rPr>
        <w:t xml:space="preserve">  固定总价  </w:t>
      </w:r>
      <w:r>
        <w:rPr>
          <w:rFonts w:hint="eastAsia" w:ascii="宋体" w:cs="宋体"/>
          <w:color w:val="000000"/>
          <w:szCs w:val="21"/>
          <w:highlight w:val="none"/>
        </w:rPr>
        <w:t>。</w:t>
      </w:r>
    </w:p>
    <w:p w14:paraId="4798373A">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6.评标办法：</w:t>
      </w:r>
    </w:p>
    <w:p w14:paraId="3E998BB8">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6.1本次招标评标采用</w:t>
      </w:r>
      <w:r>
        <w:rPr>
          <w:rFonts w:hint="eastAsia" w:ascii="宋体" w:cs="宋体"/>
          <w:color w:val="000000"/>
          <w:szCs w:val="21"/>
          <w:highlight w:val="none"/>
          <w:u w:val="single" w:color="auto"/>
        </w:rPr>
        <w:t xml:space="preserve"> 综合评分法 </w:t>
      </w:r>
      <w:r>
        <w:rPr>
          <w:rFonts w:hint="eastAsia" w:ascii="宋体" w:cs="宋体"/>
          <w:color w:val="000000"/>
          <w:szCs w:val="21"/>
          <w:highlight w:val="none"/>
        </w:rPr>
        <w:t>（详见第三章评标办法）</w:t>
      </w:r>
    </w:p>
    <w:p w14:paraId="548E6FD8">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7.投标人资格：</w:t>
      </w:r>
    </w:p>
    <w:p w14:paraId="322A6F7A">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7.1参与采购活动的投标人必须是满足《中华人民共和国政府采购法》规定条件的法人、其他组织或者自然人：</w:t>
      </w:r>
    </w:p>
    <w:p w14:paraId="6DC574D0">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7.2由于政府采购项目的差异性，投标人在参与具体政府采购项目活动时，应仔细阅读该项目的资质要求，具体见投标人须知前附表。</w:t>
      </w:r>
    </w:p>
    <w:p w14:paraId="091FBBCD">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8. 投标费用</w:t>
      </w:r>
    </w:p>
    <w:p w14:paraId="0AB6E0E7">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8.1投标人准备和参加投标活动发生的费用自理。</w:t>
      </w:r>
    </w:p>
    <w:p w14:paraId="32722B5E">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9.</w:t>
      </w:r>
      <w:bookmarkStart w:id="32" w:name="_Toc247513962"/>
      <w:bookmarkStart w:id="33" w:name="_Toc247592876"/>
      <w:bookmarkStart w:id="34" w:name="_Toc247527563"/>
      <w:bookmarkStart w:id="35" w:name="_Toc152045539"/>
      <w:bookmarkStart w:id="36" w:name="_Toc144974507"/>
      <w:bookmarkStart w:id="37" w:name="_Toc296602429"/>
      <w:bookmarkStart w:id="38" w:name="_Toc152042315"/>
      <w:r>
        <w:rPr>
          <w:rFonts w:hint="eastAsia" w:ascii="黑体" w:eastAsia="黑体" w:cs="宋体"/>
          <w:b/>
          <w:color w:val="000000"/>
          <w:szCs w:val="21"/>
          <w:highlight w:val="none"/>
        </w:rPr>
        <w:t xml:space="preserve"> 踏勘现场</w:t>
      </w:r>
      <w:bookmarkEnd w:id="32"/>
      <w:bookmarkEnd w:id="33"/>
      <w:bookmarkEnd w:id="34"/>
      <w:bookmarkEnd w:id="35"/>
      <w:bookmarkEnd w:id="36"/>
      <w:bookmarkEnd w:id="37"/>
      <w:bookmarkEnd w:id="38"/>
      <w:r>
        <w:rPr>
          <w:rFonts w:hint="eastAsia" w:ascii="黑体" w:eastAsia="黑体" w:cs="宋体"/>
          <w:b/>
          <w:bCs/>
          <w:color w:val="000000"/>
          <w:szCs w:val="21"/>
          <w:highlight w:val="none"/>
        </w:rPr>
        <w:t>（本次招标不采用）</w:t>
      </w:r>
    </w:p>
    <w:p w14:paraId="458880EA">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 xml:space="preserve">9.1 投标人须知前附表规定组织踏勘现场的，采购人按投标人须知前附表规定的时间、地点组织投标人踏勘项目现场。 </w:t>
      </w:r>
    </w:p>
    <w:p w14:paraId="4D57C1CE">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9.2 投标人踏勘现场发生的费用自理。</w:t>
      </w:r>
    </w:p>
    <w:p w14:paraId="107D502C">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9.3 除采购人的原因外，投标人自行负责在踏勘现场中所发生的人员伤亡和财产损失。</w:t>
      </w:r>
    </w:p>
    <w:p w14:paraId="1BC44D2B">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9.4 采购人在踏勘现场中介绍的场地和相关的周边环境情况，供投标人在编制投标文件时参考，采购人不对投标人据此作出的判断和决策负责。</w:t>
      </w:r>
    </w:p>
    <w:p w14:paraId="59E5D2D5">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10. 投标预备会（本次招标不采用）</w:t>
      </w:r>
    </w:p>
    <w:p w14:paraId="05EEAA4E">
      <w:pPr>
        <w:keepNext w:val="0"/>
        <w:keepLines w:val="0"/>
        <w:pageBreakBefore w:val="0"/>
        <w:kinsoku/>
        <w:overflowPunct/>
        <w:topLinePunct w:val="0"/>
        <w:autoSpaceDE/>
        <w:autoSpaceDN/>
        <w:bidi w:val="0"/>
        <w:snapToGrid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10.1投标人须知前附表规定召开投标预备会的，采购人按投标人须知前附表规定的时间和地点召开投标预备会，澄清投标人提出的问题。</w:t>
      </w:r>
    </w:p>
    <w:p w14:paraId="425593B7">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10.2投标人应在投标人须知前附表规定的时间前，将提出的问题送达采购人，以便采购人澄清。</w:t>
      </w:r>
    </w:p>
    <w:p w14:paraId="6E7AD5CB">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10.3采购人在投标人须知前附表规定的时间，将对投标人所提的问题进行澄清。该澄清内容为招标文件的组成部分。</w:t>
      </w:r>
    </w:p>
    <w:p w14:paraId="122B1893">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11. 联合投标（本次招标不采用）</w:t>
      </w:r>
    </w:p>
    <w:p w14:paraId="604C0DE7">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11.1 两个以上投标人可以组成一个投标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w:t>
      </w:r>
    </w:p>
    <w:p w14:paraId="60F6FAB5">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11.2联合体各方之间应当签订共同投标协议，明确约定联合体各方承担的工作和相应的责任，并将共同投标协议连同投标文件一并提交采购人。联合体各方签订共同投标协议后，不得再以自己名义单独在同一项目中投标，也不得组成新的联合体参加同一项目投标。</w:t>
      </w:r>
    </w:p>
    <w:p w14:paraId="7CB6BFFE">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11.3 联合体应当确定其中一个单位为投标的全权代表，负责参加投标的一切事务，并承担投标及履约中应承担的全部责任与义务。</w:t>
      </w:r>
    </w:p>
    <w:p w14:paraId="391D86B3">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11.4 联合体各方应当共同与采购人签订采购合同，就采购合同约定的事项对采购人承担连带责任。</w:t>
      </w:r>
    </w:p>
    <w:p w14:paraId="19CB3AEA">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12.招标代理费</w:t>
      </w:r>
    </w:p>
    <w:p w14:paraId="007F0F19">
      <w:pPr>
        <w:keepNext w:val="0"/>
        <w:keepLines w:val="0"/>
        <w:pageBreakBefore w:val="0"/>
        <w:kinsoku/>
        <w:overflowPunct/>
        <w:topLinePunct w:val="0"/>
        <w:autoSpaceDE/>
        <w:autoSpaceDN/>
        <w:bidi w:val="0"/>
        <w:spacing w:line="390" w:lineRule="exact"/>
        <w:ind w:firstLine="420" w:firstLineChars="200"/>
        <w:jc w:val="left"/>
        <w:rPr>
          <w:rFonts w:hint="eastAsia" w:ascii="宋体" w:hAnsi="宋体" w:cs="宋体"/>
          <w:color w:val="000000"/>
          <w:szCs w:val="21"/>
          <w:highlight w:val="none"/>
        </w:rPr>
      </w:pPr>
      <w:r>
        <w:rPr>
          <w:rFonts w:hint="eastAsia" w:ascii="宋体" w:cs="宋体"/>
          <w:bCs/>
          <w:color w:val="000000"/>
          <w:szCs w:val="21"/>
          <w:highlight w:val="none"/>
        </w:rPr>
        <w:t>12.1招标代理费：详见投标须知前附表</w:t>
      </w:r>
      <w:r>
        <w:rPr>
          <w:rFonts w:ascii="宋体" w:hAnsi="宋体" w:cs="宋体"/>
          <w:color w:val="000000"/>
          <w:szCs w:val="21"/>
          <w:highlight w:val="none"/>
        </w:rPr>
        <w:t>。</w:t>
      </w:r>
    </w:p>
    <w:p w14:paraId="301D5166">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13.投标人应注意的事项</w:t>
      </w:r>
    </w:p>
    <w:p w14:paraId="6C27B1E5">
      <w:pPr>
        <w:keepNext w:val="0"/>
        <w:keepLines w:val="0"/>
        <w:pageBreakBefore w:val="0"/>
        <w:kinsoku/>
        <w:overflowPunct/>
        <w:topLinePunct w:val="0"/>
        <w:autoSpaceDE/>
        <w:autoSpaceDN/>
        <w:bidi w:val="0"/>
        <w:spacing w:line="390" w:lineRule="exact"/>
        <w:ind w:firstLine="420" w:firstLineChars="200"/>
        <w:jc w:val="left"/>
        <w:rPr>
          <w:rFonts w:hint="eastAsia" w:ascii="宋体"/>
          <w:color w:val="000000"/>
          <w:szCs w:val="21"/>
          <w:highlight w:val="none"/>
        </w:rPr>
      </w:pPr>
      <w:r>
        <w:rPr>
          <w:rFonts w:hint="eastAsia" w:ascii="宋体"/>
          <w:color w:val="000000"/>
          <w:szCs w:val="21"/>
          <w:highlight w:val="none"/>
        </w:rPr>
        <w:t>13.1投标人一旦下载了本招标文件并参加投标，即被认为接受了本招标文件中的所有条件和规定。投标人必须严格按招标文件的要求编制投标文件，以便评委审核。投标文件具体封装要求见本章第26条。</w:t>
      </w:r>
    </w:p>
    <w:p w14:paraId="226CCFC9">
      <w:pPr>
        <w:keepNext w:val="0"/>
        <w:keepLines w:val="0"/>
        <w:pageBreakBefore w:val="0"/>
        <w:kinsoku/>
        <w:overflowPunct/>
        <w:topLinePunct w:val="0"/>
        <w:autoSpaceDE/>
        <w:autoSpaceDN/>
        <w:bidi w:val="0"/>
        <w:spacing w:line="390" w:lineRule="exact"/>
        <w:ind w:firstLine="424" w:firstLineChars="202"/>
        <w:jc w:val="left"/>
        <w:rPr>
          <w:rFonts w:hint="eastAsia" w:ascii="宋体"/>
          <w:color w:val="000000"/>
          <w:szCs w:val="21"/>
          <w:highlight w:val="none"/>
        </w:rPr>
      </w:pPr>
      <w:r>
        <w:rPr>
          <w:rFonts w:hint="eastAsia" w:ascii="宋体"/>
          <w:color w:val="000000"/>
          <w:szCs w:val="21"/>
          <w:highlight w:val="none"/>
        </w:rPr>
        <w:t>13.3 投标人对采购内容中规定的要求等必须最大限度的满足招标文件的相关要求。</w:t>
      </w:r>
    </w:p>
    <w:p w14:paraId="6485E39B">
      <w:pPr>
        <w:keepNext w:val="0"/>
        <w:keepLines w:val="0"/>
        <w:pageBreakBefore w:val="0"/>
        <w:kinsoku/>
        <w:overflowPunct/>
        <w:topLinePunct w:val="0"/>
        <w:autoSpaceDE/>
        <w:autoSpaceDN/>
        <w:bidi w:val="0"/>
        <w:spacing w:line="390" w:lineRule="exact"/>
        <w:ind w:firstLine="424" w:firstLineChars="202"/>
        <w:jc w:val="left"/>
        <w:rPr>
          <w:rFonts w:hint="eastAsia" w:ascii="宋体" w:cs="宋体"/>
          <w:color w:val="000000"/>
          <w:szCs w:val="21"/>
          <w:highlight w:val="none"/>
        </w:rPr>
      </w:pPr>
      <w:r>
        <w:rPr>
          <w:rFonts w:hint="eastAsia" w:ascii="宋体"/>
          <w:color w:val="000000"/>
          <w:szCs w:val="21"/>
          <w:highlight w:val="none"/>
        </w:rPr>
        <w:t xml:space="preserve">13.4 </w:t>
      </w:r>
      <w:r>
        <w:rPr>
          <w:rFonts w:hint="eastAsia" w:ascii="宋体" w:cs="宋体"/>
          <w:color w:val="000000"/>
          <w:szCs w:val="21"/>
          <w:highlight w:val="none"/>
        </w:rPr>
        <w:t>所有投标人的投标保证金都应在按招标文件规定要求递交。</w:t>
      </w:r>
    </w:p>
    <w:p w14:paraId="0D4DDF3D">
      <w:pPr>
        <w:keepNext w:val="0"/>
        <w:keepLines w:val="0"/>
        <w:pageBreakBefore w:val="0"/>
        <w:kinsoku/>
        <w:overflowPunct/>
        <w:topLinePunct w:val="0"/>
        <w:autoSpaceDE/>
        <w:autoSpaceDN/>
        <w:bidi w:val="0"/>
        <w:spacing w:line="390" w:lineRule="exact"/>
        <w:ind w:firstLine="424" w:firstLineChars="202"/>
        <w:jc w:val="left"/>
        <w:rPr>
          <w:rFonts w:hint="eastAsia" w:ascii="宋体"/>
          <w:color w:val="000000"/>
          <w:szCs w:val="21"/>
          <w:highlight w:val="none"/>
        </w:rPr>
      </w:pPr>
      <w:r>
        <w:rPr>
          <w:rFonts w:hint="eastAsia" w:ascii="宋体"/>
          <w:color w:val="000000"/>
          <w:szCs w:val="21"/>
          <w:highlight w:val="none"/>
        </w:rPr>
        <w:t>13.5法定代表人为同一个人的两个及两个以上法人，母公司、全资子公司及其控股公司，均不得同时参加本项目同一标包（标段）的投标。</w:t>
      </w:r>
    </w:p>
    <w:p w14:paraId="481E0332">
      <w:pPr>
        <w:keepNext w:val="0"/>
        <w:keepLines w:val="0"/>
        <w:pageBreakBefore w:val="0"/>
        <w:kinsoku/>
        <w:overflowPunct/>
        <w:topLinePunct w:val="0"/>
        <w:autoSpaceDE/>
        <w:autoSpaceDN/>
        <w:bidi w:val="0"/>
        <w:spacing w:line="390" w:lineRule="exact"/>
        <w:ind w:firstLine="424" w:firstLineChars="202"/>
        <w:rPr>
          <w:rFonts w:ascii="宋体" w:cs="宋体"/>
          <w:color w:val="000000"/>
          <w:szCs w:val="21"/>
          <w:highlight w:val="none"/>
        </w:rPr>
      </w:pPr>
      <w:r>
        <w:rPr>
          <w:rFonts w:hint="eastAsia" w:ascii="宋体"/>
          <w:color w:val="000000"/>
          <w:szCs w:val="21"/>
          <w:highlight w:val="none"/>
        </w:rPr>
        <w:t>13.6</w:t>
      </w:r>
      <w:r>
        <w:rPr>
          <w:rFonts w:hint="eastAsia" w:ascii="宋体" w:cs="宋体"/>
          <w:color w:val="000000"/>
          <w:szCs w:val="21"/>
          <w:highlight w:val="none"/>
        </w:rPr>
        <w:t>投标人被视为充分熟悉本招标项目所在地的与履行合同有关的各种情况，包括但不限于：</w:t>
      </w:r>
    </w:p>
    <w:p w14:paraId="3506D770">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（1）国家对本次投标货物和服务的生产、安装调试、验收、维修等有关法律、法规及行业管理标准；</w:t>
      </w:r>
    </w:p>
    <w:p w14:paraId="4BC91D08">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（2）安徽省及滁州市等有关管理部门的相关规定；</w:t>
      </w:r>
    </w:p>
    <w:p w14:paraId="0AD650E1">
      <w:pPr>
        <w:keepNext w:val="0"/>
        <w:keepLines w:val="0"/>
        <w:pageBreakBefore w:val="0"/>
        <w:kinsoku/>
        <w:overflowPunct/>
        <w:topLinePunct w:val="0"/>
        <w:autoSpaceDE/>
        <w:autoSpaceDN/>
        <w:bidi w:val="0"/>
        <w:spacing w:line="390" w:lineRule="exact"/>
        <w:ind w:firstLine="404" w:firstLineChars="200"/>
        <w:rPr>
          <w:rFonts w:ascii="宋体" w:cs="宋体"/>
          <w:color w:val="000000"/>
          <w:spacing w:val="-4"/>
          <w:szCs w:val="21"/>
          <w:highlight w:val="none"/>
        </w:rPr>
      </w:pPr>
      <w:r>
        <w:rPr>
          <w:rFonts w:hint="eastAsia" w:ascii="宋体" w:cs="宋体"/>
          <w:color w:val="000000"/>
          <w:spacing w:val="-4"/>
          <w:szCs w:val="21"/>
          <w:highlight w:val="none"/>
        </w:rPr>
        <w:t>（3）</w:t>
      </w:r>
      <w:r>
        <w:rPr>
          <w:rFonts w:hint="eastAsia" w:ascii="宋体" w:cs="宋体"/>
          <w:color w:val="000000"/>
          <w:szCs w:val="21"/>
          <w:highlight w:val="none"/>
        </w:rPr>
        <w:t>采购人的相关场地情况、基础建设、电力供应情况及相关设计标准。</w:t>
      </w:r>
    </w:p>
    <w:p w14:paraId="01274FA3">
      <w:pPr>
        <w:keepNext w:val="0"/>
        <w:keepLines w:val="0"/>
        <w:pageBreakBefore w:val="0"/>
        <w:kinsoku/>
        <w:overflowPunct/>
        <w:topLinePunct w:val="0"/>
        <w:autoSpaceDE/>
        <w:autoSpaceDN/>
        <w:bidi w:val="0"/>
        <w:spacing w:line="390" w:lineRule="exact"/>
        <w:jc w:val="left"/>
        <w:rPr>
          <w:rFonts w:hint="eastAsia" w:ascii="宋体"/>
          <w:color w:val="000000"/>
          <w:szCs w:val="21"/>
          <w:highlight w:val="none"/>
        </w:rPr>
      </w:pPr>
      <w:r>
        <w:rPr>
          <w:rFonts w:hint="eastAsia" w:ascii="宋体"/>
          <w:color w:val="000000"/>
          <w:szCs w:val="21"/>
          <w:highlight w:val="none"/>
        </w:rPr>
        <w:t>14.1</w:t>
      </w:r>
      <w:r>
        <w:rPr>
          <w:rFonts w:hint="eastAsia" w:ascii="宋体" w:cs="宋体"/>
          <w:color w:val="000000"/>
          <w:szCs w:val="21"/>
          <w:highlight w:val="none"/>
        </w:rPr>
        <w:t>本招标文件不再对上述情况进行描述。</w:t>
      </w:r>
    </w:p>
    <w:p w14:paraId="7A14B98D">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39" w:name="_Toc10668_WPSOffice_Level3"/>
      <w:bookmarkStart w:id="40" w:name="_Toc131512194"/>
      <w:r>
        <w:rPr>
          <w:rFonts w:hint="eastAsia" w:ascii="宋体"/>
          <w:b/>
          <w:color w:val="000000"/>
          <w:sz w:val="24"/>
          <w:szCs w:val="24"/>
          <w:highlight w:val="none"/>
        </w:rPr>
        <w:t>（二）</w:t>
      </w:r>
      <w:bookmarkEnd w:id="39"/>
      <w:r>
        <w:rPr>
          <w:rFonts w:hint="eastAsia" w:ascii="宋体"/>
          <w:b/>
          <w:color w:val="000000"/>
          <w:sz w:val="24"/>
          <w:szCs w:val="24"/>
          <w:highlight w:val="none"/>
        </w:rPr>
        <w:t>招标文件</w:t>
      </w:r>
      <w:bookmarkEnd w:id="40"/>
    </w:p>
    <w:p w14:paraId="281D04C5">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15. 招标文件的编制依据</w:t>
      </w:r>
    </w:p>
    <w:p w14:paraId="3B11A23C">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根据《中华人民共和国招标投标法》、《中华人民共和国政府采购法》、《政府采购货物和服务招标投标管理办法》和《中华人民共和国合同法》</w:t>
      </w:r>
      <w:r>
        <w:rPr>
          <w:rFonts w:hint="eastAsia" w:ascii="宋体" w:cs="宋体"/>
          <w:color w:val="000000"/>
          <w:spacing w:val="-2"/>
          <w:szCs w:val="21"/>
          <w:highlight w:val="none"/>
        </w:rPr>
        <w:t>等相关法律法规和规章及部、省、市级规范性文件的规定，编制本招标文件。</w:t>
      </w:r>
    </w:p>
    <w:p w14:paraId="36B108DD">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16. 招标文件的组成</w:t>
      </w:r>
    </w:p>
    <w:p w14:paraId="3BD51551">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16.1 招标文件包括内容：</w:t>
      </w:r>
    </w:p>
    <w:p w14:paraId="4C21AD08">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第一章  招标公告</w:t>
      </w:r>
    </w:p>
    <w:p w14:paraId="7739CCA5">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第二章  投标须知</w:t>
      </w:r>
    </w:p>
    <w:p w14:paraId="483C422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第三章  评标办法</w:t>
      </w:r>
    </w:p>
    <w:p w14:paraId="27933CC4">
      <w:pPr>
        <w:keepNext w:val="0"/>
        <w:keepLines w:val="0"/>
        <w:pageBreakBefore w:val="0"/>
        <w:kinsoku/>
        <w:overflowPunct/>
        <w:topLinePunct w:val="0"/>
        <w:autoSpaceDE/>
        <w:autoSpaceDN/>
        <w:bidi w:val="0"/>
        <w:spacing w:line="390" w:lineRule="exact"/>
        <w:ind w:firstLine="420" w:firstLineChars="200"/>
        <w:rPr>
          <w:rFonts w:hint="eastAsia" w:ascii="宋体" w:eastAsia="宋体" w:cs="宋体"/>
          <w:color w:val="000000"/>
          <w:szCs w:val="21"/>
          <w:highlight w:val="none"/>
          <w:lang w:eastAsia="zh-CN"/>
        </w:rPr>
      </w:pPr>
      <w:r>
        <w:rPr>
          <w:rFonts w:hint="eastAsia" w:ascii="宋体" w:cs="宋体"/>
          <w:color w:val="000000"/>
          <w:szCs w:val="21"/>
          <w:highlight w:val="none"/>
        </w:rPr>
        <w:t xml:space="preserve">第四章  </w:t>
      </w:r>
      <w:r>
        <w:rPr>
          <w:rFonts w:hint="eastAsia" w:ascii="宋体" w:cs="宋体"/>
          <w:color w:val="000000"/>
          <w:szCs w:val="21"/>
          <w:highlight w:val="none"/>
          <w:lang w:eastAsia="zh-CN"/>
        </w:rPr>
        <w:t>采购需求及服务要求</w:t>
      </w:r>
    </w:p>
    <w:p w14:paraId="1636B259">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第五章  合同条款及格式</w:t>
      </w:r>
    </w:p>
    <w:p w14:paraId="2811911E">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第六章  投标文件格式文本</w:t>
      </w:r>
    </w:p>
    <w:p w14:paraId="4722624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第七章  采购人、</w:t>
      </w:r>
      <w:r>
        <w:rPr>
          <w:rFonts w:hint="eastAsia" w:ascii="宋体" w:cs="宋体"/>
          <w:color w:val="000000"/>
          <w:szCs w:val="21"/>
          <w:highlight w:val="none"/>
          <w:lang w:eastAsia="zh-CN"/>
        </w:rPr>
        <w:t>采购代理机构</w:t>
      </w:r>
      <w:r>
        <w:rPr>
          <w:rFonts w:hint="eastAsia" w:ascii="宋体" w:cs="宋体"/>
          <w:color w:val="000000"/>
          <w:szCs w:val="21"/>
          <w:highlight w:val="none"/>
        </w:rPr>
        <w:t>对本文件的确认</w:t>
      </w:r>
    </w:p>
    <w:p w14:paraId="12DF5BAC">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16.2 除16.1内容外，招标答疑亦为招标文件的组成部分，对采购人和投标人起约束作用。</w:t>
      </w:r>
    </w:p>
    <w:p w14:paraId="4F448EF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16.3投标人应仔细阅读和检查招标文件的全部内容。如发现缺页或附件不全，应及时向采购人提出，以便补齐。如有疑问，应在投标人须知前附表规定的方式要求采购人对招标文件予以澄清。</w:t>
      </w:r>
    </w:p>
    <w:p w14:paraId="49D3F36C">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16.4 招标文件的澄清将在</w:t>
      </w:r>
      <w:r>
        <w:rPr>
          <w:rFonts w:hint="eastAsia" w:ascii="宋体" w:hAnsi="宋体" w:cs="宋体"/>
          <w:color w:val="000000"/>
          <w:szCs w:val="21"/>
          <w:highlight w:val="none"/>
          <w:lang w:eastAsia="zh-CN"/>
        </w:rPr>
        <w:t>滁州开放大学（http://www.czou.ah.cn/）</w:t>
      </w:r>
      <w:r>
        <w:rPr>
          <w:rFonts w:hint="eastAsia" w:ascii="宋体" w:cs="宋体"/>
          <w:color w:val="000000"/>
          <w:szCs w:val="21"/>
          <w:highlight w:val="none"/>
        </w:rPr>
        <w:t>发布，但不指明澄清问题的来源。如果澄清内容影响投标文件编制的，将相应延长投标截止时间。</w:t>
      </w:r>
    </w:p>
    <w:p w14:paraId="3602D801">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17. 招标文件的修改、补充、解释</w:t>
      </w:r>
    </w:p>
    <w:p w14:paraId="51EE3B7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17.1 招标文件发出后，采购人在规定的投标截止时间前可对招标文件进行必要的修改和补充，并以更正公告形式在</w:t>
      </w:r>
      <w:r>
        <w:rPr>
          <w:rFonts w:hint="eastAsia" w:ascii="宋体" w:hAnsi="宋体" w:cs="宋体"/>
          <w:color w:val="000000"/>
          <w:szCs w:val="21"/>
          <w:highlight w:val="none"/>
          <w:lang w:eastAsia="zh-CN"/>
        </w:rPr>
        <w:t>滁州开放大学（http://www.czou.ah.cn/）</w:t>
      </w:r>
      <w:r>
        <w:rPr>
          <w:rFonts w:hint="eastAsia" w:ascii="宋体" w:cs="宋体"/>
          <w:color w:val="000000"/>
          <w:szCs w:val="21"/>
          <w:highlight w:val="none"/>
        </w:rPr>
        <w:t>予以公告，请各位投标人注意查看有关澄清内容，如不及时查看造成后果由投标人自负。招标文件的修改、补充等内容作为招标文件的组成部分，具有约束作用。</w:t>
      </w:r>
    </w:p>
    <w:p w14:paraId="5083C2FE">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17.2 投标人应在投标截止时间前关注原采购信息发布媒体上有关本项目有无变更公告，如不及时查看造成后果由投标人自负。</w:t>
      </w:r>
    </w:p>
    <w:p w14:paraId="658D4644">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17.3招标文件的解释</w:t>
      </w:r>
    </w:p>
    <w:p w14:paraId="323D2356">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本招标文件由采购人（或其委托的</w:t>
      </w:r>
      <w:r>
        <w:rPr>
          <w:rFonts w:hint="eastAsia" w:ascii="宋体" w:cs="宋体"/>
          <w:color w:val="000000"/>
          <w:szCs w:val="21"/>
          <w:highlight w:val="none"/>
          <w:lang w:eastAsia="zh-CN"/>
        </w:rPr>
        <w:t>采购代理机构</w:t>
      </w:r>
      <w:r>
        <w:rPr>
          <w:rFonts w:hint="eastAsia" w:ascii="宋体" w:cs="宋体"/>
          <w:color w:val="000000"/>
          <w:szCs w:val="21"/>
          <w:highlight w:val="none"/>
        </w:rPr>
        <w:t>）负责解释。</w:t>
      </w:r>
    </w:p>
    <w:p w14:paraId="57EA3781">
      <w:pPr>
        <w:keepNext w:val="0"/>
        <w:keepLines w:val="0"/>
        <w:pageBreakBefore w:val="0"/>
        <w:kinsoku/>
        <w:overflowPunct/>
        <w:topLinePunct w:val="0"/>
        <w:autoSpaceDE/>
        <w:autoSpaceDN/>
        <w:bidi w:val="0"/>
        <w:snapToGrid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18. 招标文件的发出</w:t>
      </w:r>
    </w:p>
    <w:p w14:paraId="6D79FD13">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18.1,招标文件、招标文件的澄清、修改、补充及招标答疑等均应经采同购人确认后，方可发出。</w:t>
      </w:r>
    </w:p>
    <w:p w14:paraId="58168932">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41" w:name="_Toc1549_WPSOffice_Level3"/>
      <w:bookmarkStart w:id="42" w:name="_Toc131512195"/>
      <w:r>
        <w:rPr>
          <w:rFonts w:hint="eastAsia" w:ascii="宋体"/>
          <w:b/>
          <w:color w:val="000000"/>
          <w:sz w:val="24"/>
          <w:szCs w:val="24"/>
          <w:highlight w:val="none"/>
        </w:rPr>
        <w:t>（三）投标文件的编制</w:t>
      </w:r>
      <w:bookmarkEnd w:id="41"/>
      <w:bookmarkEnd w:id="42"/>
    </w:p>
    <w:p w14:paraId="09F32E69">
      <w:pPr>
        <w:keepNext w:val="0"/>
        <w:keepLines w:val="0"/>
        <w:pageBreakBefore w:val="0"/>
        <w:kinsoku/>
        <w:overflowPunct/>
        <w:topLinePunct w:val="0"/>
        <w:autoSpaceDE/>
        <w:autoSpaceDN/>
        <w:bidi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20. 投标的语言及度量衡单位</w:t>
      </w:r>
    </w:p>
    <w:p w14:paraId="0BB8F202">
      <w:pPr>
        <w:keepNext w:val="0"/>
        <w:keepLines w:val="0"/>
        <w:pageBreakBefore w:val="0"/>
        <w:widowControl w:val="0"/>
        <w:kinsoku/>
        <w:overflowPunct/>
        <w:topLinePunct w:val="0"/>
        <w:autoSpaceDE/>
        <w:autoSpaceDN/>
        <w:bidi w:val="0"/>
        <w:spacing w:line="390" w:lineRule="exact"/>
        <w:ind w:firstLine="420" w:firstLineChars="200"/>
        <w:textAlignment w:val="auto"/>
        <w:rPr>
          <w:rFonts w:hint="eastAsia" w:ascii="宋体" w:cs="宋体"/>
          <w:color w:val="000000"/>
          <w:szCs w:val="21"/>
          <w:highlight w:val="none"/>
        </w:rPr>
      </w:pPr>
      <w:r>
        <w:rPr>
          <w:rFonts w:hint="eastAsia" w:ascii="宋体" w:cs="宋体"/>
          <w:color w:val="000000"/>
          <w:szCs w:val="21"/>
          <w:highlight w:val="none"/>
        </w:rPr>
        <w:t>20.1投标人提交的投标文件、技术文件和资料，包括图纸中的说明，以及投标人与采购人就有关投标的所有来往函电均应使用中文。投标文件中若有英文或其他语言文字的资料，应提供相应的中文翻译资料。对不同文本投标文件的解释发生异议的，以中文文本为准。</w:t>
      </w:r>
    </w:p>
    <w:p w14:paraId="3B931F15">
      <w:pPr>
        <w:keepNext w:val="0"/>
        <w:keepLines w:val="0"/>
        <w:pageBreakBefore w:val="0"/>
        <w:widowControl w:val="0"/>
        <w:kinsoku/>
        <w:overflowPunct/>
        <w:topLinePunct w:val="0"/>
        <w:autoSpaceDE/>
        <w:autoSpaceDN/>
        <w:bidi w:val="0"/>
        <w:spacing w:line="390" w:lineRule="exact"/>
        <w:ind w:firstLine="420" w:firstLineChars="200"/>
        <w:textAlignment w:val="auto"/>
        <w:rPr>
          <w:rFonts w:hint="eastAsia" w:ascii="宋体" w:cs="宋体"/>
          <w:color w:val="000000"/>
          <w:szCs w:val="21"/>
          <w:highlight w:val="none"/>
        </w:rPr>
      </w:pPr>
      <w:r>
        <w:rPr>
          <w:rFonts w:hint="eastAsia" w:ascii="宋体" w:cs="宋体"/>
          <w:color w:val="000000"/>
          <w:szCs w:val="21"/>
          <w:highlight w:val="none"/>
        </w:rPr>
        <w:t>20.2除招标文件中另有规定外，投标书所使用的度量衡均须采用法定计量单位。</w:t>
      </w:r>
    </w:p>
    <w:p w14:paraId="71AC1032">
      <w:pPr>
        <w:keepNext w:val="0"/>
        <w:keepLines w:val="0"/>
        <w:pageBreakBefore w:val="0"/>
        <w:kinsoku/>
        <w:overflowPunct/>
        <w:topLinePunct w:val="0"/>
        <w:autoSpaceDE/>
        <w:autoSpaceDN/>
        <w:bidi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 xml:space="preserve">21. </w:t>
      </w:r>
      <w:r>
        <w:rPr>
          <w:rFonts w:hint="eastAsia" w:ascii="宋体" w:hAnsi="宋体"/>
          <w:b/>
          <w:color w:val="000000"/>
          <w:szCs w:val="21"/>
          <w:highlight w:val="none"/>
        </w:rPr>
        <w:t>投标文件的组成、制作说明</w:t>
      </w:r>
    </w:p>
    <w:p w14:paraId="68AD837B">
      <w:pPr>
        <w:keepNext w:val="0"/>
        <w:keepLines w:val="0"/>
        <w:pageBreakBefore w:val="0"/>
        <w:kinsoku/>
        <w:overflowPunct/>
        <w:topLinePunct w:val="0"/>
        <w:autoSpaceDE/>
        <w:autoSpaceDN/>
        <w:bidi w:val="0"/>
        <w:spacing w:line="390" w:lineRule="exact"/>
        <w:ind w:firstLine="424" w:firstLineChars="202"/>
        <w:rPr>
          <w:rFonts w:ascii="宋体" w:hAnsi="宋体"/>
          <w:color w:val="000000"/>
          <w:szCs w:val="21"/>
          <w:highlight w:val="none"/>
        </w:rPr>
      </w:pPr>
      <w:r>
        <w:rPr>
          <w:rFonts w:hint="eastAsia" w:ascii="宋体" w:hAnsi="宋体"/>
          <w:color w:val="000000"/>
          <w:szCs w:val="21"/>
          <w:highlight w:val="none"/>
        </w:rPr>
        <w:t>21.1投标文件的组成</w:t>
      </w:r>
    </w:p>
    <w:p w14:paraId="2CE3F2C8">
      <w:pPr>
        <w:keepNext w:val="0"/>
        <w:keepLines w:val="0"/>
        <w:pageBreakBefore w:val="0"/>
        <w:kinsoku/>
        <w:overflowPunct/>
        <w:topLinePunct w:val="0"/>
        <w:autoSpaceDE/>
        <w:autoSpaceDN/>
        <w:bidi w:val="0"/>
        <w:spacing w:line="39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投标文件由投标文件一（资信证明文件）、投标文件二（技术标）和投标文件三（商务标）三部分组成。具体内容详见第六章投标文件格式内容。</w:t>
      </w:r>
    </w:p>
    <w:p w14:paraId="1B2EE10B">
      <w:pPr>
        <w:keepNext w:val="0"/>
        <w:keepLines w:val="0"/>
        <w:pageBreakBefore w:val="0"/>
        <w:kinsoku/>
        <w:overflowPunct/>
        <w:topLinePunct w:val="0"/>
        <w:autoSpaceDE/>
        <w:autoSpaceDN/>
        <w:bidi w:val="0"/>
        <w:spacing w:line="390" w:lineRule="exact"/>
        <w:ind w:firstLine="424" w:firstLineChars="202"/>
        <w:rPr>
          <w:rFonts w:ascii="宋体" w:hAnsi="宋体"/>
          <w:color w:val="000000"/>
          <w:szCs w:val="21"/>
          <w:highlight w:val="none"/>
        </w:rPr>
      </w:pPr>
      <w:r>
        <w:rPr>
          <w:rFonts w:hint="eastAsia" w:ascii="宋体" w:hAnsi="宋体"/>
          <w:color w:val="000000"/>
          <w:szCs w:val="21"/>
          <w:highlight w:val="none"/>
        </w:rPr>
        <w:t>21.2投标文件的编制</w:t>
      </w:r>
    </w:p>
    <w:p w14:paraId="7F814DB0">
      <w:pPr>
        <w:keepNext w:val="0"/>
        <w:keepLines w:val="0"/>
        <w:pageBreakBefore w:val="0"/>
        <w:numPr>
          <w:ilvl w:val="0"/>
          <w:numId w:val="0"/>
        </w:numPr>
        <w:kinsoku/>
        <w:overflowPunct/>
        <w:topLinePunct w:val="0"/>
        <w:autoSpaceDE/>
        <w:autoSpaceDN/>
        <w:bidi w:val="0"/>
        <w:spacing w:line="390" w:lineRule="exact"/>
        <w:ind w:firstLine="424" w:firstLineChars="202"/>
        <w:rPr>
          <w:rFonts w:hint="eastAsia" w:ascii="宋体" w:hAnsi="宋体" w:eastAsia="宋体" w:cs="Times New Roman"/>
          <w:color w:val="000000"/>
          <w:szCs w:val="21"/>
          <w:highlight w:val="none"/>
        </w:rPr>
      </w:pPr>
      <w:r>
        <w:rPr>
          <w:rFonts w:hint="eastAsia" w:ascii="宋体" w:hAnsi="宋体"/>
          <w:color w:val="000000"/>
          <w:sz w:val="21"/>
          <w:szCs w:val="21"/>
          <w:highlight w:val="none"/>
          <w:lang w:val="en-US" w:eastAsia="zh-CN" w:bidi="ar-SA"/>
        </w:rPr>
        <w:t>（1）</w:t>
      </w:r>
      <w:r>
        <w:rPr>
          <w:rFonts w:hint="eastAsia" w:ascii="宋体" w:hAnsi="宋体"/>
          <w:color w:val="000000"/>
          <w:szCs w:val="21"/>
          <w:highlight w:val="none"/>
        </w:rPr>
        <w:t>投标文件应按第六章“投标文件格式文本”进行编写，如有必要，可以增加附页，作为投</w:t>
      </w:r>
      <w:r>
        <w:rPr>
          <w:rFonts w:hint="eastAsia" w:ascii="宋体" w:hAnsi="宋体" w:eastAsia="宋体" w:cs="Times New Roman"/>
          <w:color w:val="000000"/>
          <w:szCs w:val="21"/>
          <w:highlight w:val="none"/>
        </w:rPr>
        <w:t>标文件的组成部分。</w:t>
      </w:r>
    </w:p>
    <w:p w14:paraId="0BFCAD2C">
      <w:pPr>
        <w:keepNext w:val="0"/>
        <w:keepLines w:val="0"/>
        <w:pageBreakBefore w:val="0"/>
        <w:numPr>
          <w:ilvl w:val="0"/>
          <w:numId w:val="0"/>
        </w:numPr>
        <w:kinsoku/>
        <w:overflowPunct/>
        <w:topLinePunct w:val="0"/>
        <w:autoSpaceDE/>
        <w:autoSpaceDN/>
        <w:bidi w:val="0"/>
        <w:spacing w:line="390" w:lineRule="exact"/>
        <w:ind w:firstLine="424" w:firstLineChars="202"/>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投标文件应按招标文件规定的格式由法定代表人（或其委托代理人）和投标人分别签章。</w:t>
      </w:r>
    </w:p>
    <w:p w14:paraId="6CB20540">
      <w:pPr>
        <w:pStyle w:val="21"/>
        <w:keepNext w:val="0"/>
        <w:keepLines w:val="0"/>
        <w:pageBreakBefore w:val="0"/>
        <w:numPr>
          <w:ilvl w:val="0"/>
          <w:numId w:val="0"/>
        </w:numPr>
        <w:kinsoku/>
        <w:overflowPunct/>
        <w:topLinePunct w:val="0"/>
        <w:autoSpaceDE/>
        <w:autoSpaceDN/>
        <w:bidi w:val="0"/>
        <w:spacing w:line="390" w:lineRule="exact"/>
        <w:ind w:left="0" w:leftChars="0" w:firstLine="562" w:firstLineChars="200"/>
        <w:rPr>
          <w:rFonts w:hint="eastAsia" w:ascii="黑体" w:eastAsia="黑体" w:cs="宋体"/>
          <w:color w:val="000000"/>
          <w:szCs w:val="21"/>
          <w:highlight w:val="none"/>
        </w:rPr>
      </w:pPr>
      <w:r>
        <w:rPr>
          <w:rFonts w:hint="eastAsia" w:ascii="黑体" w:eastAsia="黑体" w:cs="宋体"/>
          <w:b/>
          <w:color w:val="000000"/>
          <w:szCs w:val="21"/>
          <w:highlight w:val="none"/>
        </w:rPr>
        <w:t>22</w:t>
      </w:r>
      <w:r>
        <w:rPr>
          <w:rFonts w:hint="eastAsia" w:ascii="黑体" w:eastAsia="黑体" w:cs="宋体"/>
          <w:color w:val="000000"/>
          <w:szCs w:val="21"/>
          <w:highlight w:val="none"/>
        </w:rPr>
        <w:t>.</w:t>
      </w:r>
      <w:r>
        <w:rPr>
          <w:rFonts w:hint="eastAsia" w:ascii="黑体" w:eastAsia="黑体" w:cs="宋体"/>
          <w:b/>
          <w:color w:val="000000"/>
          <w:szCs w:val="21"/>
          <w:highlight w:val="none"/>
        </w:rPr>
        <w:t>投标报价</w:t>
      </w:r>
    </w:p>
    <w:p w14:paraId="5FA8866B">
      <w:pPr>
        <w:keepNext w:val="0"/>
        <w:keepLines w:val="0"/>
        <w:pageBreakBefore w:val="0"/>
        <w:kinsoku/>
        <w:overflowPunct/>
        <w:topLinePunct w:val="0"/>
        <w:autoSpaceDE/>
        <w:autoSpaceDN/>
        <w:bidi w:val="0"/>
        <w:spacing w:line="390" w:lineRule="exact"/>
        <w:ind w:firstLine="420" w:firstLineChars="200"/>
        <w:jc w:val="left"/>
        <w:rPr>
          <w:color w:val="000000"/>
          <w:highlight w:val="none"/>
        </w:rPr>
      </w:pPr>
      <w:r>
        <w:rPr>
          <w:rFonts w:hint="eastAsia" w:ascii="宋体" w:hAnsi="宋体" w:cs="宋体"/>
          <w:color w:val="000000"/>
          <w:szCs w:val="21"/>
          <w:highlight w:val="none"/>
        </w:rPr>
        <w:t>22.1</w:t>
      </w:r>
      <w:r>
        <w:rPr>
          <w:rFonts w:hint="eastAsia" w:ascii="宋体"/>
          <w:color w:val="000000"/>
          <w:szCs w:val="21"/>
          <w:highlight w:val="none"/>
        </w:rPr>
        <w:t>投标报价文件中的单价和总价全部采用人民币表示。投标人的报价应含有服务、利润、税金、政策性文件规定及合同包含的所有风险、责任、义务等，即为完成招标文件要求的服务内容所包含的一切应有费用，</w:t>
      </w:r>
      <w:r>
        <w:rPr>
          <w:rFonts w:hint="eastAsia" w:ascii="宋体" w:hAnsi="宋体"/>
          <w:color w:val="000000"/>
          <w:szCs w:val="21"/>
          <w:highlight w:val="none"/>
        </w:rPr>
        <w:t>中标价格今后将不作任何调整，</w:t>
      </w:r>
      <w:r>
        <w:rPr>
          <w:rFonts w:hint="eastAsia" w:ascii="宋体"/>
          <w:color w:val="000000"/>
          <w:szCs w:val="21"/>
          <w:highlight w:val="none"/>
        </w:rPr>
        <w:t>采购人后期不再追加费用，投标投标人自行考虑投标风险。</w:t>
      </w:r>
    </w:p>
    <w:p w14:paraId="4F17E849">
      <w:pPr>
        <w:keepNext w:val="0"/>
        <w:keepLines w:val="0"/>
        <w:pageBreakBefore w:val="0"/>
        <w:kinsoku/>
        <w:wordWrap w:val="0"/>
        <w:overflowPunct/>
        <w:topLinePunct w:val="0"/>
        <w:autoSpaceDE/>
        <w:autoSpaceDN/>
        <w:bidi w:val="0"/>
        <w:spacing w:line="390" w:lineRule="exact"/>
        <w:ind w:left="-9" w:right="-199" w:rightChars="-95" w:firstLine="429"/>
        <w:rPr>
          <w:rFonts w:hint="eastAsia" w:ascii="宋体" w:hAnsi="宋体" w:cs="宋体"/>
          <w:color w:val="000000"/>
          <w:szCs w:val="21"/>
          <w:highlight w:val="none"/>
        </w:rPr>
      </w:pPr>
      <w:r>
        <w:rPr>
          <w:rFonts w:hint="eastAsia" w:ascii="宋体" w:hAnsi="宋体" w:cs="宋体"/>
          <w:color w:val="000000"/>
          <w:szCs w:val="21"/>
          <w:highlight w:val="none"/>
        </w:rPr>
        <w:t>22.2投标人只允许有一个方案、一个报价，多方案、多报价的投标文件将不被接受。</w:t>
      </w:r>
    </w:p>
    <w:p w14:paraId="7F06E616">
      <w:pPr>
        <w:keepNext w:val="0"/>
        <w:keepLines w:val="0"/>
        <w:pageBreakBefore w:val="0"/>
        <w:kinsoku/>
        <w:overflowPunct/>
        <w:topLinePunct w:val="0"/>
        <w:autoSpaceDE/>
        <w:autoSpaceDN/>
        <w:bidi w:val="0"/>
        <w:spacing w:line="390" w:lineRule="exact"/>
        <w:ind w:firstLine="420" w:firstLineChars="200"/>
        <w:rPr>
          <w:rFonts w:hint="eastAsia" w:ascii="宋体"/>
          <w:color w:val="000000"/>
          <w:szCs w:val="21"/>
          <w:highlight w:val="none"/>
        </w:rPr>
      </w:pPr>
      <w:r>
        <w:rPr>
          <w:rFonts w:hint="eastAsia" w:ascii="宋体" w:hAnsi="宋体" w:cs="宋体"/>
          <w:color w:val="000000"/>
          <w:szCs w:val="21"/>
          <w:highlight w:val="none"/>
        </w:rPr>
        <w:t>22.3</w:t>
      </w:r>
      <w:r>
        <w:rPr>
          <w:rFonts w:hint="eastAsia" w:ascii="宋体"/>
          <w:color w:val="000000"/>
          <w:szCs w:val="21"/>
          <w:highlight w:val="none"/>
        </w:rPr>
        <w:t>投标人应按“第四章采购需求及服务要求”所列服务内容进行报价，</w:t>
      </w:r>
      <w:r>
        <w:rPr>
          <w:rFonts w:hint="eastAsia" w:ascii="宋体"/>
          <w:bCs/>
          <w:color w:val="000000"/>
          <w:szCs w:val="21"/>
          <w:highlight w:val="none"/>
          <w:lang w:val="zh-CN"/>
        </w:rPr>
        <w:t>投标报价为完成本次招标项目的全费用价格，其组成包括</w:t>
      </w:r>
      <w:r>
        <w:rPr>
          <w:rFonts w:hint="eastAsia" w:ascii="宋体" w:hAnsi="宋体"/>
          <w:color w:val="000000"/>
          <w:szCs w:val="21"/>
          <w:highlight w:val="none"/>
        </w:rPr>
        <w:t>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14:paraId="790123D7">
      <w:pPr>
        <w:keepNext w:val="0"/>
        <w:keepLines w:val="0"/>
        <w:pageBreakBefore w:val="0"/>
        <w:kinsoku/>
        <w:overflowPunct/>
        <w:topLinePunct w:val="0"/>
        <w:autoSpaceDE/>
        <w:autoSpaceDN/>
        <w:bidi w:val="0"/>
        <w:spacing w:line="390" w:lineRule="exact"/>
        <w:ind w:right="-92" w:rightChars="-44" w:firstLine="420" w:firstLineChars="200"/>
        <w:rPr>
          <w:rFonts w:hint="eastAsia" w:ascii="宋体"/>
          <w:color w:val="000000"/>
          <w:szCs w:val="21"/>
          <w:highlight w:val="none"/>
        </w:rPr>
      </w:pPr>
      <w:r>
        <w:rPr>
          <w:rFonts w:hint="eastAsia" w:ascii="宋体"/>
          <w:color w:val="000000"/>
          <w:szCs w:val="21"/>
          <w:highlight w:val="none"/>
        </w:rPr>
        <w:t>22.4投标报价的价格是完成项目全部内容（包括后期的相关服务）的价格，其总价即为履行合同的固定总价。</w:t>
      </w:r>
    </w:p>
    <w:p w14:paraId="6B789DFD">
      <w:pPr>
        <w:keepNext w:val="0"/>
        <w:keepLines w:val="0"/>
        <w:pageBreakBefore w:val="0"/>
        <w:kinsoku/>
        <w:overflowPunct/>
        <w:topLinePunct w:val="0"/>
        <w:autoSpaceDE/>
        <w:autoSpaceDN/>
        <w:bidi w:val="0"/>
        <w:spacing w:line="390" w:lineRule="exact"/>
        <w:ind w:firstLine="420" w:firstLineChars="200"/>
        <w:rPr>
          <w:rFonts w:hint="eastAsia" w:ascii="宋体"/>
          <w:color w:val="000000"/>
          <w:szCs w:val="21"/>
          <w:highlight w:val="none"/>
        </w:rPr>
      </w:pPr>
      <w:r>
        <w:rPr>
          <w:rFonts w:hint="eastAsia" w:ascii="宋体"/>
          <w:color w:val="000000"/>
          <w:szCs w:val="21"/>
          <w:highlight w:val="none"/>
        </w:rPr>
        <w:t>22.5技术要求中规定的安装、调试和培训费用应包括在投标价格中。投标文件报价为含税价，采购人不再为此次招标支付任何费用。</w:t>
      </w:r>
    </w:p>
    <w:p w14:paraId="3494750C">
      <w:pPr>
        <w:keepNext w:val="0"/>
        <w:keepLines w:val="0"/>
        <w:pageBreakBefore w:val="0"/>
        <w:kinsoku/>
        <w:overflowPunct/>
        <w:topLinePunct w:val="0"/>
        <w:autoSpaceDE/>
        <w:autoSpaceDN/>
        <w:bidi w:val="0"/>
        <w:spacing w:line="390" w:lineRule="exact"/>
        <w:ind w:firstLine="420" w:firstLineChars="200"/>
        <w:rPr>
          <w:rFonts w:hint="eastAsia" w:ascii="宋体"/>
          <w:color w:val="000000"/>
          <w:szCs w:val="21"/>
          <w:highlight w:val="none"/>
        </w:rPr>
      </w:pPr>
      <w:r>
        <w:rPr>
          <w:rFonts w:hint="eastAsia" w:ascii="宋体"/>
          <w:color w:val="000000"/>
          <w:szCs w:val="21"/>
          <w:highlight w:val="none"/>
        </w:rPr>
        <w:t>22.6投标报价应由法定代表人或被授权人签署。</w:t>
      </w:r>
    </w:p>
    <w:p w14:paraId="12915125">
      <w:pPr>
        <w:keepNext w:val="0"/>
        <w:keepLines w:val="0"/>
        <w:pageBreakBefore w:val="0"/>
        <w:kinsoku/>
        <w:overflowPunct/>
        <w:topLinePunct w:val="0"/>
        <w:autoSpaceDE/>
        <w:autoSpaceDN/>
        <w:bidi w:val="0"/>
        <w:spacing w:line="390" w:lineRule="exact"/>
        <w:ind w:firstLine="420" w:firstLineChars="200"/>
        <w:rPr>
          <w:rFonts w:hint="eastAsia" w:ascii="宋体"/>
          <w:bCs/>
          <w:color w:val="000000"/>
          <w:szCs w:val="21"/>
          <w:highlight w:val="none"/>
        </w:rPr>
      </w:pPr>
      <w:r>
        <w:rPr>
          <w:rFonts w:hint="eastAsia" w:ascii="宋体"/>
          <w:bCs/>
          <w:color w:val="000000"/>
          <w:szCs w:val="21"/>
          <w:highlight w:val="none"/>
        </w:rPr>
        <w:t>22.7投标人的报价不得高于本次招标最高限价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5C731B90">
      <w:pPr>
        <w:keepNext w:val="0"/>
        <w:keepLines w:val="0"/>
        <w:pageBreakBefore w:val="0"/>
        <w:kinsoku/>
        <w:overflowPunct/>
        <w:topLinePunct w:val="0"/>
        <w:autoSpaceDE/>
        <w:autoSpaceDN/>
        <w:bidi w:val="0"/>
        <w:spacing w:line="390" w:lineRule="exact"/>
        <w:ind w:firstLine="420" w:firstLineChars="200"/>
        <w:rPr>
          <w:rFonts w:hint="eastAsia" w:ascii="宋体"/>
          <w:color w:val="000000"/>
          <w:szCs w:val="21"/>
          <w:highlight w:val="none"/>
        </w:rPr>
      </w:pPr>
      <w:r>
        <w:rPr>
          <w:rFonts w:hint="eastAsia" w:ascii="宋体"/>
          <w:color w:val="000000"/>
          <w:szCs w:val="21"/>
          <w:highlight w:val="none"/>
        </w:rPr>
        <w:t>22.8如投标文件中未列明全面实现投标服务功能而必须配置的配套或辅助设施及相应技术措施的费用，这些费用将被视为已包含在总投标价中。</w:t>
      </w:r>
    </w:p>
    <w:p w14:paraId="3CDD142C">
      <w:pPr>
        <w:keepNext w:val="0"/>
        <w:keepLines w:val="0"/>
        <w:pageBreakBefore w:val="0"/>
        <w:kinsoku/>
        <w:overflowPunct/>
        <w:topLinePunct w:val="0"/>
        <w:autoSpaceDE/>
        <w:autoSpaceDN/>
        <w:bidi w:val="0"/>
        <w:spacing w:line="390" w:lineRule="exact"/>
        <w:ind w:firstLine="420" w:firstLineChars="200"/>
        <w:rPr>
          <w:rFonts w:hint="eastAsia" w:ascii="宋体"/>
          <w:color w:val="000000"/>
          <w:szCs w:val="21"/>
          <w:highlight w:val="none"/>
        </w:rPr>
      </w:pPr>
      <w:r>
        <w:rPr>
          <w:rFonts w:hint="eastAsia" w:ascii="宋体"/>
          <w:color w:val="000000"/>
          <w:szCs w:val="21"/>
          <w:highlight w:val="none"/>
        </w:rPr>
        <w:t>22.9总投标价中不得包含招标文件要求以外的内容，否则，在评标时不予核减，但在授予合同时，采购人有权将这部分价格从其中标价格中扣除。</w:t>
      </w:r>
    </w:p>
    <w:p w14:paraId="47369A1B">
      <w:pPr>
        <w:keepNext w:val="0"/>
        <w:keepLines w:val="0"/>
        <w:pageBreakBefore w:val="0"/>
        <w:kinsoku/>
        <w:overflowPunct/>
        <w:topLinePunct w:val="0"/>
        <w:autoSpaceDE/>
        <w:autoSpaceDN/>
        <w:bidi w:val="0"/>
        <w:spacing w:line="390" w:lineRule="exact"/>
        <w:ind w:firstLine="403" w:firstLineChars="192"/>
        <w:rPr>
          <w:rFonts w:hint="eastAsia" w:ascii="宋体"/>
          <w:color w:val="000000"/>
          <w:szCs w:val="21"/>
          <w:highlight w:val="none"/>
        </w:rPr>
      </w:pPr>
      <w:r>
        <w:rPr>
          <w:rFonts w:hint="eastAsia" w:ascii="宋体"/>
          <w:color w:val="000000"/>
          <w:szCs w:val="21"/>
          <w:highlight w:val="none"/>
        </w:rPr>
        <w:t>22.10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C3A3DAD">
      <w:pPr>
        <w:keepNext w:val="0"/>
        <w:keepLines w:val="0"/>
        <w:pageBreakBefore w:val="0"/>
        <w:kinsoku/>
        <w:overflowPunct/>
        <w:topLinePunct w:val="0"/>
        <w:autoSpaceDE/>
        <w:autoSpaceDN/>
        <w:bidi w:val="0"/>
        <w:spacing w:line="390" w:lineRule="exact"/>
        <w:ind w:firstLine="403" w:firstLineChars="192"/>
        <w:rPr>
          <w:rFonts w:hint="eastAsia" w:ascii="宋体"/>
          <w:color w:val="000000"/>
          <w:szCs w:val="21"/>
          <w:highlight w:val="none"/>
        </w:rPr>
      </w:pPr>
      <w:r>
        <w:rPr>
          <w:rFonts w:hint="eastAsia" w:ascii="宋体"/>
          <w:color w:val="000000"/>
          <w:szCs w:val="21"/>
          <w:highlight w:val="none"/>
        </w:rPr>
        <w:t>22.11投标人不得对从第三方采购货物的随机备品、备件另行收费，否则在计算评标价时这部分费用将不予扣除，在授予合同时将从中标价格中扣除该部分费用。</w:t>
      </w:r>
    </w:p>
    <w:p w14:paraId="1CCB9A1E">
      <w:pPr>
        <w:keepNext w:val="0"/>
        <w:keepLines w:val="0"/>
        <w:pageBreakBefore w:val="0"/>
        <w:kinsoku/>
        <w:overflowPunct/>
        <w:topLinePunct w:val="0"/>
        <w:autoSpaceDE/>
        <w:autoSpaceDN/>
        <w:bidi w:val="0"/>
        <w:spacing w:line="390" w:lineRule="exact"/>
        <w:ind w:firstLine="403" w:firstLineChars="192"/>
        <w:rPr>
          <w:rFonts w:hint="eastAsia" w:ascii="宋体"/>
          <w:color w:val="000000"/>
          <w:szCs w:val="21"/>
          <w:highlight w:val="none"/>
        </w:rPr>
      </w:pPr>
      <w:r>
        <w:rPr>
          <w:rFonts w:hint="eastAsia" w:ascii="宋体"/>
          <w:color w:val="000000"/>
          <w:szCs w:val="21"/>
          <w:highlight w:val="none"/>
        </w:rPr>
        <w:t>22.12投标人应根据服务的状况列出随机备品备件的清单和数量，并将该备品备件价格计入总投标价，若所提供的产品无需备件，则应在投标文件中说明；无论投标人在报价中列明随机备品备件的数量及价格多少，在服务期内采购人均无需为维护维修保养所需的专用工具和备品备件另行支付费用。</w:t>
      </w:r>
    </w:p>
    <w:p w14:paraId="2E06B9B3">
      <w:pPr>
        <w:keepNext w:val="0"/>
        <w:keepLines w:val="0"/>
        <w:pageBreakBefore w:val="0"/>
        <w:kinsoku/>
        <w:overflowPunct/>
        <w:topLinePunct w:val="0"/>
        <w:autoSpaceDE/>
        <w:autoSpaceDN/>
        <w:bidi w:val="0"/>
        <w:spacing w:line="390" w:lineRule="exact"/>
        <w:ind w:firstLine="422" w:firstLineChars="200"/>
        <w:rPr>
          <w:rFonts w:hint="eastAsia" w:ascii="黑体" w:eastAsia="黑体" w:cs="宋体"/>
          <w:b/>
          <w:color w:val="000000"/>
          <w:szCs w:val="21"/>
          <w:highlight w:val="none"/>
        </w:rPr>
      </w:pPr>
      <w:r>
        <w:rPr>
          <w:rFonts w:hint="eastAsia" w:ascii="黑体" w:eastAsia="黑体" w:cs="宋体"/>
          <w:b/>
          <w:color w:val="000000"/>
          <w:szCs w:val="21"/>
          <w:highlight w:val="none"/>
        </w:rPr>
        <w:t>23. 投标有效期</w:t>
      </w:r>
    </w:p>
    <w:p w14:paraId="1603A556">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23.1 除投标人须知前附表另有规定外，投标有效期为60天。</w:t>
      </w:r>
    </w:p>
    <w:p w14:paraId="70692D4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23.2在投标有效期内，投标人撤销或修改其投标文件的，应承担招标文件和法律规定的责任。</w:t>
      </w:r>
    </w:p>
    <w:p w14:paraId="6C7A7087">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EDA94F1">
      <w:pPr>
        <w:keepNext w:val="0"/>
        <w:keepLines w:val="0"/>
        <w:pageBreakBefore w:val="0"/>
        <w:kinsoku/>
        <w:overflowPunct/>
        <w:topLinePunct w:val="0"/>
        <w:autoSpaceDE/>
        <w:autoSpaceDN/>
        <w:bidi w:val="0"/>
        <w:spacing w:line="390" w:lineRule="exact"/>
        <w:ind w:firstLine="422" w:firstLineChars="200"/>
        <w:rPr>
          <w:rFonts w:hint="eastAsia" w:ascii="黑体" w:eastAsia="黑体" w:cs="宋体"/>
          <w:b/>
          <w:bCs/>
          <w:color w:val="000000"/>
          <w:szCs w:val="21"/>
          <w:highlight w:val="none"/>
        </w:rPr>
      </w:pPr>
      <w:r>
        <w:rPr>
          <w:rFonts w:hint="eastAsia" w:ascii="黑体" w:eastAsia="黑体" w:cs="宋体"/>
          <w:b/>
          <w:bCs/>
          <w:color w:val="000000"/>
          <w:szCs w:val="21"/>
          <w:highlight w:val="none"/>
        </w:rPr>
        <w:t>24. 投标保证金（本项目不要求）</w:t>
      </w:r>
    </w:p>
    <w:p w14:paraId="75DA2D32">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hAnsi="宋体"/>
          <w:color w:val="000000"/>
          <w:szCs w:val="21"/>
          <w:highlight w:val="none"/>
        </w:rPr>
        <w:t>24.1</w:t>
      </w:r>
      <w:r>
        <w:rPr>
          <w:rFonts w:hint="eastAsia" w:ascii="宋体"/>
          <w:color w:val="000000"/>
          <w:szCs w:val="21"/>
          <w:highlight w:val="none"/>
        </w:rPr>
        <w:t>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BFBF896">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43" w:name="_Toc6570_WPSOffice_Level3"/>
      <w:bookmarkStart w:id="44" w:name="_Toc131512196"/>
      <w:r>
        <w:rPr>
          <w:rFonts w:hint="eastAsia" w:ascii="宋体"/>
          <w:b/>
          <w:color w:val="000000"/>
          <w:sz w:val="24"/>
          <w:szCs w:val="24"/>
          <w:highlight w:val="none"/>
        </w:rPr>
        <w:t>（四）投标文件的密封和递交</w:t>
      </w:r>
      <w:bookmarkEnd w:id="43"/>
      <w:bookmarkEnd w:id="44"/>
    </w:p>
    <w:p w14:paraId="38D5BE02">
      <w:pPr>
        <w:keepNext w:val="0"/>
        <w:keepLines w:val="0"/>
        <w:pageBreakBefore w:val="0"/>
        <w:kinsoku/>
        <w:overflowPunct/>
        <w:topLinePunct w:val="0"/>
        <w:autoSpaceDE/>
        <w:autoSpaceDN/>
        <w:bidi w:val="0"/>
        <w:spacing w:line="390" w:lineRule="exact"/>
        <w:jc w:val="left"/>
        <w:rPr>
          <w:rFonts w:hint="eastAsia" w:ascii="宋体"/>
          <w:b/>
          <w:color w:val="000000"/>
          <w:szCs w:val="21"/>
          <w:highlight w:val="none"/>
        </w:rPr>
      </w:pPr>
      <w:bookmarkStart w:id="45" w:name="_Toc30407_WPSOffice_Level3"/>
      <w:r>
        <w:rPr>
          <w:rFonts w:hint="eastAsia" w:ascii="宋体"/>
          <w:b/>
          <w:color w:val="000000"/>
          <w:szCs w:val="21"/>
          <w:highlight w:val="none"/>
        </w:rPr>
        <w:t>25. 投标文件的份数和签署</w:t>
      </w:r>
    </w:p>
    <w:p w14:paraId="76175167">
      <w:pPr>
        <w:keepNext w:val="0"/>
        <w:keepLines w:val="0"/>
        <w:pageBreakBefore w:val="0"/>
        <w:kinsoku/>
        <w:overflowPunct/>
        <w:topLinePunct w:val="0"/>
        <w:autoSpaceDE/>
        <w:autoSpaceDN/>
        <w:bidi w:val="0"/>
        <w:spacing w:line="390" w:lineRule="exact"/>
        <w:rPr>
          <w:rFonts w:hint="eastAsia" w:ascii="宋体" w:hAnsi="宋体" w:eastAsia="宋体" w:cs="宋体"/>
          <w:color w:val="000000"/>
          <w:szCs w:val="21"/>
          <w:highlight w:val="none"/>
        </w:rPr>
      </w:pPr>
      <w:r>
        <w:rPr>
          <w:rFonts w:hint="eastAsia" w:ascii="宋体"/>
          <w:b/>
          <w:color w:val="000000"/>
          <w:szCs w:val="21"/>
          <w:highlight w:val="none"/>
        </w:rPr>
        <w:t>25.1 投标文件份数：</w:t>
      </w:r>
      <w:r>
        <w:rPr>
          <w:rFonts w:hint="eastAsia" w:ascii="宋体" w:hAnsi="宋体"/>
          <w:color w:val="000000"/>
          <w:szCs w:val="21"/>
          <w:highlight w:val="none"/>
          <w:lang w:val="en-US" w:eastAsia="zh-CN"/>
        </w:rPr>
        <w:t>正本一份，副本贰份，投标文</w:t>
      </w:r>
      <w:r>
        <w:rPr>
          <w:rFonts w:hint="eastAsia" w:ascii="宋体" w:hAnsi="宋体"/>
          <w:color w:val="000000"/>
          <w:szCs w:val="21"/>
          <w:highlight w:val="none"/>
        </w:rPr>
        <w:t>封面应注明</w:t>
      </w:r>
      <w:r>
        <w:rPr>
          <w:rFonts w:ascii="宋体" w:hAnsi="宋体"/>
          <w:color w:val="000000"/>
          <w:szCs w:val="21"/>
          <w:highlight w:val="none"/>
        </w:rPr>
        <w:t>“</w:t>
      </w:r>
      <w:r>
        <w:rPr>
          <w:rFonts w:hint="eastAsia" w:ascii="宋体" w:hAnsi="宋体"/>
          <w:color w:val="000000"/>
          <w:szCs w:val="21"/>
          <w:highlight w:val="none"/>
        </w:rPr>
        <w:t>正本</w:t>
      </w:r>
      <w:r>
        <w:rPr>
          <w:rFonts w:ascii="宋体" w:hAnsi="宋体"/>
          <w:color w:val="000000"/>
          <w:szCs w:val="21"/>
          <w:highlight w:val="none"/>
        </w:rPr>
        <w:t>”</w:t>
      </w:r>
      <w:r>
        <w:rPr>
          <w:rFonts w:hint="eastAsia" w:ascii="宋体" w:hAnsi="宋体"/>
          <w:color w:val="000000"/>
          <w:szCs w:val="21"/>
          <w:highlight w:val="none"/>
        </w:rPr>
        <w:t>或</w:t>
      </w:r>
      <w:r>
        <w:rPr>
          <w:rFonts w:ascii="宋体" w:hAnsi="宋体"/>
          <w:color w:val="000000"/>
          <w:szCs w:val="21"/>
          <w:highlight w:val="none"/>
        </w:rPr>
        <w:t>“</w:t>
      </w:r>
      <w:r>
        <w:rPr>
          <w:rFonts w:hint="eastAsia" w:ascii="宋体" w:hAnsi="宋体"/>
          <w:color w:val="000000"/>
          <w:szCs w:val="21"/>
          <w:highlight w:val="none"/>
        </w:rPr>
        <w:t>副本</w:t>
      </w:r>
      <w:r>
        <w:rPr>
          <w:rFonts w:ascii="宋体" w:hAnsi="宋体"/>
          <w:color w:val="000000"/>
          <w:szCs w:val="21"/>
          <w:highlight w:val="none"/>
        </w:rPr>
        <w:t>”</w:t>
      </w:r>
      <w:r>
        <w:rPr>
          <w:rFonts w:hint="eastAsia" w:ascii="宋体" w:hAnsi="宋体"/>
          <w:color w:val="000000"/>
          <w:szCs w:val="21"/>
          <w:highlight w:val="none"/>
        </w:rPr>
        <w:t>。一旦正本与副本不符，以正本为主。</w:t>
      </w:r>
      <w:r>
        <w:rPr>
          <w:rFonts w:hint="eastAsia" w:ascii="宋体" w:hAnsi="宋体" w:eastAsia="宋体" w:cs="宋体"/>
          <w:b/>
          <w:bCs/>
          <w:color w:val="000000"/>
          <w:szCs w:val="21"/>
          <w:highlight w:val="none"/>
        </w:rPr>
        <w:t>（正本、副本分别装订成册）</w:t>
      </w:r>
    </w:p>
    <w:p w14:paraId="3F6279E6">
      <w:pPr>
        <w:keepNext w:val="0"/>
        <w:keepLines w:val="0"/>
        <w:pageBreakBefore w:val="0"/>
        <w:kinsoku/>
        <w:overflowPunct/>
        <w:topLinePunct w:val="0"/>
        <w:autoSpaceDE/>
        <w:autoSpaceDN/>
        <w:bidi w:val="0"/>
        <w:spacing w:line="390" w:lineRule="exact"/>
        <w:jc w:val="left"/>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 xml:space="preserve">25.2  </w:t>
      </w:r>
      <w:r>
        <w:rPr>
          <w:rFonts w:hint="eastAsia" w:ascii="宋体" w:hAnsi="宋体" w:eastAsia="宋体" w:cs="宋体"/>
          <w:b/>
          <w:bCs/>
          <w:color w:val="000000"/>
          <w:szCs w:val="21"/>
          <w:highlight w:val="none"/>
        </w:rPr>
        <w:t>按格式文件要求签字或盖章，否则经评委会一致认定且经过采购人同意后, 按照无效投标处理。</w:t>
      </w:r>
    </w:p>
    <w:p w14:paraId="26A26BD5">
      <w:pPr>
        <w:keepNext w:val="0"/>
        <w:keepLines w:val="0"/>
        <w:pageBreakBefore w:val="0"/>
        <w:kinsoku/>
        <w:overflowPunct/>
        <w:topLinePunct w:val="0"/>
        <w:autoSpaceDE/>
        <w:autoSpaceDN/>
        <w:bidi w:val="0"/>
        <w:spacing w:line="390" w:lineRule="exact"/>
        <w:jc w:val="left"/>
        <w:rPr>
          <w:rFonts w:hint="eastAsia" w:ascii="宋体" w:hAnsi="宋体"/>
          <w:color w:val="000000"/>
          <w:szCs w:val="21"/>
          <w:highlight w:val="none"/>
        </w:rPr>
      </w:pPr>
      <w:r>
        <w:rPr>
          <w:rFonts w:hint="eastAsia" w:ascii="宋体"/>
          <w:b/>
          <w:color w:val="000000"/>
          <w:szCs w:val="21"/>
          <w:highlight w:val="none"/>
        </w:rPr>
        <w:t>26．</w:t>
      </w:r>
      <w:r>
        <w:rPr>
          <w:rFonts w:hint="eastAsia" w:ascii="宋体" w:hAnsi="宋体"/>
          <w:color w:val="000000"/>
          <w:szCs w:val="21"/>
          <w:highlight w:val="none"/>
        </w:rPr>
        <w:t>投标文件的密封和标记。</w:t>
      </w:r>
    </w:p>
    <w:p w14:paraId="4AB76BF1">
      <w:pPr>
        <w:keepNext w:val="0"/>
        <w:keepLines w:val="0"/>
        <w:pageBreakBefore w:val="0"/>
        <w:kinsoku/>
        <w:overflowPunct/>
        <w:topLinePunct w:val="0"/>
        <w:autoSpaceDE/>
        <w:autoSpaceDN/>
        <w:bidi w:val="0"/>
        <w:spacing w:line="390" w:lineRule="exact"/>
        <w:ind w:firstLine="210" w:firstLineChars="100"/>
        <w:jc w:val="left"/>
        <w:rPr>
          <w:rFonts w:hint="eastAsia" w:ascii="宋体" w:hAnsi="宋体"/>
          <w:color w:val="000000"/>
          <w:szCs w:val="21"/>
          <w:highlight w:val="none"/>
        </w:rPr>
      </w:pPr>
      <w:r>
        <w:rPr>
          <w:rFonts w:hint="eastAsia" w:ascii="宋体" w:hAnsi="宋体"/>
          <w:color w:val="000000"/>
          <w:szCs w:val="21"/>
          <w:highlight w:val="none"/>
        </w:rPr>
        <w:t xml:space="preserve">26.1  </w:t>
      </w:r>
      <w:r>
        <w:rPr>
          <w:rFonts w:hint="eastAsia" w:ascii="宋体"/>
          <w:color w:val="000000"/>
          <w:szCs w:val="21"/>
          <w:highlight w:val="none"/>
        </w:rPr>
        <w:t>投标文件的密封（资格标正、副本密封在一个袋内；技术标正、副本密封在一个袋内；商务标正、副本密封在一个袋内）</w:t>
      </w:r>
    </w:p>
    <w:p w14:paraId="1E65067E">
      <w:pPr>
        <w:keepNext w:val="0"/>
        <w:keepLines w:val="0"/>
        <w:pageBreakBefore w:val="0"/>
        <w:kinsoku/>
        <w:overflowPunct/>
        <w:topLinePunct w:val="0"/>
        <w:autoSpaceDE/>
        <w:autoSpaceDN/>
        <w:bidi w:val="0"/>
        <w:spacing w:line="390" w:lineRule="exact"/>
        <w:ind w:firstLine="420" w:firstLineChars="200"/>
        <w:rPr>
          <w:rFonts w:ascii="宋体"/>
          <w:color w:val="000000"/>
          <w:szCs w:val="21"/>
          <w:highlight w:val="none"/>
        </w:rPr>
      </w:pPr>
      <w:r>
        <w:rPr>
          <w:rFonts w:hint="eastAsia" w:ascii="宋体" w:hAnsi="宋体"/>
          <w:color w:val="000000"/>
          <w:szCs w:val="21"/>
          <w:highlight w:val="none"/>
        </w:rPr>
        <w:t>26.1.1</w:t>
      </w:r>
      <w:r>
        <w:rPr>
          <w:rFonts w:hint="eastAsia" w:ascii="宋体"/>
          <w:color w:val="000000"/>
          <w:szCs w:val="21"/>
          <w:highlight w:val="none"/>
        </w:rPr>
        <w:t>投标文件应进行包装</w:t>
      </w:r>
      <w:r>
        <w:rPr>
          <w:rFonts w:hint="eastAsia" w:ascii="宋体"/>
          <w:color w:val="000000"/>
          <w:szCs w:val="21"/>
          <w:highlight w:val="none"/>
          <w:lang w:eastAsia="zh-CN"/>
        </w:rPr>
        <w:t>、</w:t>
      </w:r>
      <w:r>
        <w:rPr>
          <w:rFonts w:hint="eastAsia" w:ascii="宋体"/>
          <w:color w:val="000000"/>
          <w:szCs w:val="21"/>
          <w:highlight w:val="none"/>
          <w:lang w:val="en-US" w:eastAsia="zh-CN"/>
        </w:rPr>
        <w:t>密封</w:t>
      </w:r>
      <w:r>
        <w:rPr>
          <w:rFonts w:hint="eastAsia" w:ascii="宋体"/>
          <w:color w:val="000000"/>
          <w:szCs w:val="21"/>
          <w:highlight w:val="none"/>
        </w:rPr>
        <w:t>，并在封口处加盖投标人单位公章。</w:t>
      </w:r>
    </w:p>
    <w:p w14:paraId="4EE0E72D">
      <w:pPr>
        <w:keepNext w:val="0"/>
        <w:keepLines w:val="0"/>
        <w:pageBreakBefore w:val="0"/>
        <w:kinsoku/>
        <w:overflowPunct/>
        <w:topLinePunct w:val="0"/>
        <w:autoSpaceDE/>
        <w:autoSpaceDN/>
        <w:bidi w:val="0"/>
        <w:spacing w:line="390" w:lineRule="exact"/>
        <w:ind w:firstLine="420" w:firstLineChars="200"/>
        <w:rPr>
          <w:rFonts w:ascii="宋体"/>
          <w:color w:val="000000"/>
          <w:szCs w:val="21"/>
          <w:highlight w:val="none"/>
        </w:rPr>
      </w:pPr>
      <w:r>
        <w:rPr>
          <w:rFonts w:hint="eastAsia" w:ascii="宋体"/>
          <w:color w:val="000000"/>
          <w:szCs w:val="21"/>
          <w:highlight w:val="none"/>
        </w:rPr>
        <w:t>26.1.2投标文件封套上应写明的内容及具体密封要求见投标人须知前附表。</w:t>
      </w:r>
    </w:p>
    <w:p w14:paraId="08CAA1C8">
      <w:pPr>
        <w:keepNext w:val="0"/>
        <w:keepLines w:val="0"/>
        <w:pageBreakBefore w:val="0"/>
        <w:kinsoku/>
        <w:overflowPunct/>
        <w:topLinePunct w:val="0"/>
        <w:autoSpaceDE/>
        <w:autoSpaceDN/>
        <w:bidi w:val="0"/>
        <w:spacing w:line="390" w:lineRule="exact"/>
        <w:ind w:firstLine="420" w:firstLineChars="200"/>
        <w:rPr>
          <w:rFonts w:ascii="宋体"/>
          <w:color w:val="000000"/>
          <w:szCs w:val="21"/>
          <w:highlight w:val="none"/>
        </w:rPr>
      </w:pPr>
      <w:r>
        <w:rPr>
          <w:rFonts w:hint="eastAsia" w:ascii="宋体"/>
          <w:color w:val="000000"/>
          <w:szCs w:val="21"/>
          <w:highlight w:val="none"/>
        </w:rPr>
        <w:t>26.1.3 未按本章第26.1.1项或第26.1.2项中要求密封和加写标记的投标文件，其投标文件将被拒收。</w:t>
      </w:r>
    </w:p>
    <w:p w14:paraId="17CED258">
      <w:pPr>
        <w:keepNext w:val="0"/>
        <w:keepLines w:val="0"/>
        <w:pageBreakBefore w:val="0"/>
        <w:kinsoku/>
        <w:overflowPunct/>
        <w:topLinePunct w:val="0"/>
        <w:autoSpaceDE/>
        <w:autoSpaceDN/>
        <w:bidi w:val="0"/>
        <w:spacing w:line="390" w:lineRule="exact"/>
        <w:ind w:firstLine="420" w:firstLineChars="200"/>
        <w:rPr>
          <w:rFonts w:ascii="宋体"/>
          <w:color w:val="000000"/>
          <w:szCs w:val="21"/>
          <w:highlight w:val="none"/>
        </w:rPr>
      </w:pPr>
      <w:r>
        <w:rPr>
          <w:rFonts w:hint="eastAsia" w:ascii="宋体"/>
          <w:color w:val="000000"/>
          <w:szCs w:val="21"/>
          <w:highlight w:val="none"/>
        </w:rPr>
        <w:t>26.1.4如果所投项目分有多个包（标段），则投标书必须以包（标段）为单位进行封装，并在密封袋上标识标段号。</w:t>
      </w:r>
    </w:p>
    <w:p w14:paraId="307F78FA">
      <w:pPr>
        <w:keepNext w:val="0"/>
        <w:keepLines w:val="0"/>
        <w:pageBreakBefore w:val="0"/>
        <w:kinsoku/>
        <w:overflowPunct/>
        <w:topLinePunct w:val="0"/>
        <w:autoSpaceDE/>
        <w:autoSpaceDN/>
        <w:bidi w:val="0"/>
        <w:spacing w:line="390" w:lineRule="exact"/>
        <w:ind w:firstLine="312" w:firstLineChars="148"/>
        <w:jc w:val="left"/>
        <w:rPr>
          <w:rFonts w:hint="eastAsia" w:ascii="宋体" w:hAnsi="宋体"/>
          <w:b/>
          <w:color w:val="000000"/>
          <w:szCs w:val="21"/>
          <w:highlight w:val="none"/>
        </w:rPr>
      </w:pPr>
      <w:r>
        <w:rPr>
          <w:rFonts w:hint="eastAsia" w:ascii="宋体"/>
          <w:b/>
          <w:color w:val="000000"/>
          <w:szCs w:val="21"/>
          <w:highlight w:val="none"/>
        </w:rPr>
        <w:t xml:space="preserve">27. </w:t>
      </w:r>
      <w:r>
        <w:rPr>
          <w:rFonts w:hint="eastAsia" w:ascii="宋体" w:hAnsi="宋体"/>
          <w:b/>
          <w:color w:val="000000"/>
          <w:szCs w:val="21"/>
          <w:highlight w:val="none"/>
        </w:rPr>
        <w:t>投标文件的提交</w:t>
      </w:r>
    </w:p>
    <w:p w14:paraId="2202F290">
      <w:pPr>
        <w:keepNext w:val="0"/>
        <w:keepLines w:val="0"/>
        <w:pageBreakBefore w:val="0"/>
        <w:kinsoku/>
        <w:overflowPunct/>
        <w:topLinePunct w:val="0"/>
        <w:autoSpaceDE/>
        <w:autoSpaceDN/>
        <w:bidi w:val="0"/>
        <w:spacing w:line="390" w:lineRule="exact"/>
        <w:ind w:firstLine="420" w:firstLineChars="200"/>
        <w:rPr>
          <w:rFonts w:ascii="宋体" w:hAnsi="宋体" w:cs="宋体"/>
          <w:color w:val="000000"/>
          <w:szCs w:val="21"/>
          <w:highlight w:val="none"/>
        </w:rPr>
      </w:pPr>
      <w:r>
        <w:rPr>
          <w:rFonts w:hint="eastAsia" w:ascii="宋体" w:hAnsi="宋体"/>
          <w:color w:val="000000"/>
          <w:szCs w:val="21"/>
          <w:highlight w:val="none"/>
        </w:rPr>
        <w:t xml:space="preserve"> </w:t>
      </w:r>
      <w:r>
        <w:rPr>
          <w:rFonts w:hint="eastAsia" w:ascii="宋体" w:hAnsi="宋体" w:cs="宋体"/>
          <w:color w:val="000000"/>
          <w:szCs w:val="21"/>
          <w:highlight w:val="none"/>
        </w:rPr>
        <w:t>27.1 投标人应在投标人须知前附表规定的投标截止时间前递交投标文件。投标人未按招标文件要求递交投标文件的，采购人或代理机构将不接收投标人投标。</w:t>
      </w:r>
    </w:p>
    <w:p w14:paraId="6F97D120">
      <w:pPr>
        <w:keepNext w:val="0"/>
        <w:keepLines w:val="0"/>
        <w:pageBreakBefore w:val="0"/>
        <w:kinsoku/>
        <w:overflowPunct/>
        <w:topLinePunct w:val="0"/>
        <w:autoSpaceDE/>
        <w:autoSpaceDN/>
        <w:bidi w:val="0"/>
        <w:spacing w:line="39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27.2 投标人递交投标文件的地点：见投标人须知前附表。</w:t>
      </w:r>
    </w:p>
    <w:p w14:paraId="11E6F707">
      <w:pPr>
        <w:keepNext w:val="0"/>
        <w:keepLines w:val="0"/>
        <w:pageBreakBefore w:val="0"/>
        <w:kinsoku/>
        <w:overflowPunct/>
        <w:topLinePunct w:val="0"/>
        <w:autoSpaceDE/>
        <w:autoSpaceDN/>
        <w:bidi w:val="0"/>
        <w:spacing w:line="39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27.3 除投标人须知前附表另有规定外，投标人所递交的投标文件不予退还。</w:t>
      </w:r>
    </w:p>
    <w:p w14:paraId="28DEA343">
      <w:pPr>
        <w:keepNext w:val="0"/>
        <w:keepLines w:val="0"/>
        <w:pageBreakBefore w:val="0"/>
        <w:kinsoku/>
        <w:overflowPunct/>
        <w:topLinePunct w:val="0"/>
        <w:autoSpaceDE/>
        <w:autoSpaceDN/>
        <w:bidi w:val="0"/>
        <w:spacing w:line="390" w:lineRule="exact"/>
        <w:ind w:firstLine="314" w:firstLineChars="149"/>
        <w:rPr>
          <w:rFonts w:hint="eastAsia" w:ascii="宋体" w:hAnsi="宋体"/>
          <w:b/>
          <w:color w:val="000000"/>
          <w:szCs w:val="21"/>
          <w:highlight w:val="none"/>
        </w:rPr>
      </w:pPr>
      <w:r>
        <w:rPr>
          <w:rFonts w:hint="eastAsia" w:ascii="宋体"/>
          <w:b/>
          <w:color w:val="000000"/>
          <w:szCs w:val="21"/>
          <w:highlight w:val="none"/>
        </w:rPr>
        <w:t>28．</w:t>
      </w:r>
      <w:r>
        <w:rPr>
          <w:rFonts w:hint="eastAsia" w:ascii="宋体" w:hAnsi="宋体"/>
          <w:b/>
          <w:color w:val="000000"/>
          <w:szCs w:val="21"/>
          <w:highlight w:val="none"/>
        </w:rPr>
        <w:t>投标文件的补充、修改与撤回</w:t>
      </w:r>
    </w:p>
    <w:p w14:paraId="045A579C">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28.1投标人在本章27.1项规定的投标截止时间前，投标人可以修改或撤回已递交的投标文件，但应以书面形式通知采购人。</w:t>
      </w:r>
    </w:p>
    <w:p w14:paraId="693438F2">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28.2投标人修改或撤回已递交投标文件的书面通知应按照本章第21.5项的要求签字或盖章。</w:t>
      </w:r>
    </w:p>
    <w:p w14:paraId="0F51ECF0">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28.3修改的内容为投标文件的组成部分。修改的投标文件应按照本章第（三）投标文件的编制、第（四）投标文件的密封和递交的规定进行编制、密封、标记和递交，并标明“修改”字样。</w:t>
      </w:r>
    </w:p>
    <w:p w14:paraId="5F46D50B">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46" w:name="_Toc131512197"/>
      <w:r>
        <w:rPr>
          <w:rFonts w:hint="eastAsia" w:ascii="宋体"/>
          <w:b/>
          <w:color w:val="000000"/>
          <w:sz w:val="24"/>
          <w:szCs w:val="24"/>
          <w:highlight w:val="none"/>
        </w:rPr>
        <w:t>（五）开标、评标和定标</w:t>
      </w:r>
      <w:bookmarkEnd w:id="45"/>
      <w:bookmarkEnd w:id="46"/>
    </w:p>
    <w:p w14:paraId="3171FF5E">
      <w:pPr>
        <w:keepNext w:val="0"/>
        <w:keepLines w:val="0"/>
        <w:pageBreakBefore w:val="0"/>
        <w:kinsoku/>
        <w:overflowPunct/>
        <w:topLinePunct w:val="0"/>
        <w:autoSpaceDE/>
        <w:autoSpaceDN/>
        <w:bidi w:val="0"/>
        <w:spacing w:line="390" w:lineRule="exact"/>
        <w:rPr>
          <w:rFonts w:hint="eastAsia" w:ascii="宋体" w:hAnsi="宋体"/>
          <w:b/>
          <w:color w:val="000000"/>
          <w:szCs w:val="21"/>
          <w:highlight w:val="none"/>
        </w:rPr>
      </w:pPr>
      <w:r>
        <w:rPr>
          <w:rFonts w:hint="eastAsia" w:ascii="宋体" w:hAnsi="宋体"/>
          <w:b/>
          <w:color w:val="000000"/>
          <w:szCs w:val="21"/>
          <w:highlight w:val="none"/>
        </w:rPr>
        <w:t xml:space="preserve"> 29. </w:t>
      </w:r>
      <w:r>
        <w:rPr>
          <w:rFonts w:hint="eastAsia" w:ascii="黑体" w:eastAsia="黑体" w:cs="宋体"/>
          <w:b/>
          <w:color w:val="000000"/>
          <w:szCs w:val="21"/>
          <w:highlight w:val="none"/>
        </w:rPr>
        <w:t>开标</w:t>
      </w:r>
    </w:p>
    <w:p w14:paraId="598FA96F">
      <w:pPr>
        <w:keepNext w:val="0"/>
        <w:keepLines w:val="0"/>
        <w:pageBreakBefore w:val="0"/>
        <w:kinsoku/>
        <w:overflowPunct/>
        <w:topLinePunct w:val="0"/>
        <w:autoSpaceDE/>
        <w:autoSpaceDN/>
        <w:bidi w:val="0"/>
        <w:spacing w:line="390" w:lineRule="exact"/>
        <w:ind w:firstLine="315" w:firstLineChars="150"/>
        <w:jc w:val="left"/>
        <w:rPr>
          <w:rFonts w:hint="eastAsia" w:ascii="宋体" w:hAnsi="宋体"/>
          <w:color w:val="000000"/>
          <w:szCs w:val="21"/>
          <w:highlight w:val="none"/>
        </w:rPr>
      </w:pPr>
      <w:r>
        <w:rPr>
          <w:rFonts w:hint="eastAsia" w:ascii="宋体" w:hAnsi="宋体"/>
          <w:color w:val="000000"/>
          <w:szCs w:val="21"/>
          <w:highlight w:val="none"/>
        </w:rPr>
        <w:t xml:space="preserve">29.1  </w:t>
      </w:r>
      <w:r>
        <w:rPr>
          <w:rFonts w:hint="eastAsia" w:ascii="宋体" w:cs="宋体"/>
          <w:color w:val="000000"/>
          <w:szCs w:val="21"/>
          <w:highlight w:val="none"/>
        </w:rPr>
        <w:t>开标的时间和地点</w:t>
      </w:r>
    </w:p>
    <w:p w14:paraId="588375EA">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hAnsi="宋体"/>
          <w:color w:val="000000"/>
          <w:szCs w:val="21"/>
          <w:highlight w:val="none"/>
        </w:rPr>
        <w:t>29.1.1</w:t>
      </w:r>
      <w:r>
        <w:rPr>
          <w:rFonts w:hint="eastAsia" w:ascii="宋体" w:cs="宋体"/>
          <w:color w:val="000000"/>
          <w:szCs w:val="21"/>
          <w:highlight w:val="none"/>
        </w:rPr>
        <w:t>采购人投标须知前附表规定的提交投标文件的截止时间和地点公开开标。</w:t>
      </w:r>
    </w:p>
    <w:p w14:paraId="257A9141">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29.2  参与开标的监督部门</w:t>
      </w:r>
    </w:p>
    <w:p w14:paraId="7FA2491C">
      <w:pPr>
        <w:keepNext w:val="0"/>
        <w:keepLines w:val="0"/>
        <w:pageBreakBefore w:val="0"/>
        <w:kinsoku/>
        <w:overflowPunct/>
        <w:topLinePunct w:val="0"/>
        <w:autoSpaceDE/>
        <w:autoSpaceDN/>
        <w:bidi w:val="0"/>
        <w:spacing w:line="39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.2.1采购人可以邀请相关监</w:t>
      </w:r>
      <w:r>
        <w:rPr>
          <w:rFonts w:hint="eastAsia" w:ascii="宋体" w:hAnsi="宋体" w:eastAsia="宋体" w:cs="宋体"/>
          <w:color w:val="auto"/>
          <w:sz w:val="21"/>
          <w:szCs w:val="21"/>
          <w:highlight w:val="none"/>
          <w:lang w:val="en-US" w:eastAsia="zh-CN"/>
        </w:rPr>
        <w:t>督</w:t>
      </w:r>
      <w:r>
        <w:rPr>
          <w:rFonts w:hint="eastAsia" w:ascii="宋体" w:hAnsi="宋体" w:eastAsia="宋体" w:cs="宋体"/>
          <w:color w:val="auto"/>
          <w:sz w:val="21"/>
          <w:szCs w:val="21"/>
          <w:highlight w:val="none"/>
          <w:lang w:eastAsia="zh-CN"/>
        </w:rPr>
        <w:t>部门参加。</w:t>
      </w:r>
    </w:p>
    <w:p w14:paraId="763E39B6">
      <w:pPr>
        <w:keepNext w:val="0"/>
        <w:keepLines w:val="0"/>
        <w:pageBreakBefore w:val="0"/>
        <w:kinsoku/>
        <w:overflowPunct/>
        <w:topLinePunct w:val="0"/>
        <w:autoSpaceDE/>
        <w:autoSpaceDN/>
        <w:bidi w:val="0"/>
        <w:spacing w:line="39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29.</w:t>
      </w:r>
      <w:r>
        <w:rPr>
          <w:rFonts w:hint="eastAsia" w:ascii="宋体" w:hAnsi="宋体"/>
          <w:color w:val="000000"/>
          <w:szCs w:val="21"/>
          <w:highlight w:val="none"/>
          <w:lang w:val="en-US" w:eastAsia="zh-CN"/>
        </w:rPr>
        <w:t>3</w:t>
      </w:r>
      <w:r>
        <w:rPr>
          <w:rFonts w:hint="eastAsia" w:ascii="宋体" w:hAnsi="宋体"/>
          <w:color w:val="000000"/>
          <w:szCs w:val="21"/>
          <w:highlight w:val="none"/>
        </w:rPr>
        <w:t>开标程序</w:t>
      </w:r>
    </w:p>
    <w:p w14:paraId="1ECBE49E">
      <w:pPr>
        <w:keepNext w:val="0"/>
        <w:keepLines w:val="0"/>
        <w:pageBreakBefore w:val="0"/>
        <w:kinsoku/>
        <w:overflowPunct/>
        <w:topLinePunct w:val="0"/>
        <w:autoSpaceDE/>
        <w:autoSpaceDN/>
        <w:bidi w:val="0"/>
        <w:spacing w:line="390" w:lineRule="exact"/>
        <w:ind w:right="-155" w:rightChars="-74" w:firstLine="630" w:firstLineChars="300"/>
        <w:jc w:val="left"/>
        <w:rPr>
          <w:rFonts w:hint="eastAsia" w:ascii="宋体" w:hAnsi="宋体"/>
          <w:color w:val="000000"/>
          <w:szCs w:val="21"/>
          <w:highlight w:val="none"/>
        </w:rPr>
      </w:pPr>
      <w:r>
        <w:rPr>
          <w:rFonts w:hint="eastAsia" w:ascii="宋体" w:hAnsi="宋体"/>
          <w:color w:val="000000"/>
          <w:szCs w:val="21"/>
          <w:highlight w:val="none"/>
        </w:rPr>
        <w:t>开标会议由</w:t>
      </w:r>
      <w:r>
        <w:rPr>
          <w:rFonts w:hint="eastAsia" w:ascii="宋体" w:hAnsi="宋体"/>
          <w:color w:val="000000"/>
          <w:szCs w:val="21"/>
          <w:highlight w:val="none"/>
          <w:u w:val="single" w:color="auto"/>
        </w:rPr>
        <w:t xml:space="preserve"> </w:t>
      </w:r>
      <w:r>
        <w:rPr>
          <w:rFonts w:hint="eastAsia" w:ascii="宋体" w:hAnsi="宋体"/>
          <w:color w:val="000000"/>
          <w:szCs w:val="21"/>
          <w:highlight w:val="none"/>
          <w:u w:val="single" w:color="auto"/>
          <w:lang w:eastAsia="zh-CN"/>
        </w:rPr>
        <w:t>安徽广宇项目管理有限公司</w:t>
      </w:r>
      <w:r>
        <w:rPr>
          <w:rFonts w:hint="eastAsia" w:ascii="宋体" w:hAnsi="宋体"/>
          <w:color w:val="000000"/>
          <w:szCs w:val="21"/>
          <w:highlight w:val="none"/>
          <w:u w:val="single" w:color="auto"/>
        </w:rPr>
        <w:t xml:space="preserve"> </w:t>
      </w:r>
      <w:r>
        <w:rPr>
          <w:rFonts w:hint="eastAsia" w:ascii="宋体" w:hAnsi="宋体"/>
          <w:color w:val="000000"/>
          <w:szCs w:val="21"/>
          <w:highlight w:val="none"/>
        </w:rPr>
        <w:t>主持。</w:t>
      </w:r>
    </w:p>
    <w:p w14:paraId="529D1CE6">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（1）公布在投标截止时间前递交投标文件的投标人名称；</w:t>
      </w:r>
    </w:p>
    <w:p w14:paraId="78B349AA">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（2）宣布开标人、唱标人、记录人、监标人等有关人员姓名；</w:t>
      </w:r>
    </w:p>
    <w:p w14:paraId="0E4042D6">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（3）检查投标文件的密封情况；</w:t>
      </w:r>
    </w:p>
    <w:p w14:paraId="7D2FF5E8">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（4）宣布开标顺序（按资格证明文件、技术标、商务标顺序拆标书并唱标）；</w:t>
      </w:r>
    </w:p>
    <w:p w14:paraId="0269EE06">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（5）评标委员会进行初审【资格性审查和</w:t>
      </w:r>
      <w:r>
        <w:rPr>
          <w:rFonts w:hint="eastAsia" w:ascii="宋体"/>
          <w:color w:val="000000"/>
          <w:szCs w:val="21"/>
          <w:highlight w:val="none"/>
          <w:lang w:val="en-US" w:eastAsia="zh-CN"/>
        </w:rPr>
        <w:t>符</w:t>
      </w:r>
      <w:r>
        <w:rPr>
          <w:rFonts w:hint="eastAsia" w:ascii="宋体"/>
          <w:color w:val="000000"/>
          <w:szCs w:val="21"/>
          <w:highlight w:val="none"/>
        </w:rPr>
        <w:t xml:space="preserve">合性审查】； </w:t>
      </w:r>
    </w:p>
    <w:p w14:paraId="2A0EAE62">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（6）评标委员会根据需要要求有关投标人就投标文件进行澄清；</w:t>
      </w:r>
    </w:p>
    <w:p w14:paraId="79383FF8">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（7）主持人宣布初审结果，评标委员会接受投标人质疑并复议；</w:t>
      </w:r>
    </w:p>
    <w:p w14:paraId="3F6C2983">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eastAsia="宋体"/>
          <w:color w:val="000000"/>
          <w:szCs w:val="21"/>
          <w:highlight w:val="none"/>
          <w:lang w:eastAsia="zh-CN"/>
        </w:rPr>
      </w:pPr>
      <w:r>
        <w:rPr>
          <w:rFonts w:hint="eastAsia" w:ascii="宋体"/>
          <w:color w:val="000000"/>
          <w:szCs w:val="21"/>
          <w:highlight w:val="none"/>
        </w:rPr>
        <w:t>（8）评标委员会对通过初审的标书进行比较和评价</w:t>
      </w:r>
      <w:r>
        <w:rPr>
          <w:rFonts w:hint="eastAsia" w:ascii="宋体"/>
          <w:color w:val="000000"/>
          <w:szCs w:val="21"/>
          <w:highlight w:val="none"/>
          <w:lang w:eastAsia="zh-CN"/>
        </w:rPr>
        <w:t>；</w:t>
      </w:r>
    </w:p>
    <w:p w14:paraId="33A0ED18">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eastAsia="宋体"/>
          <w:color w:val="000000"/>
          <w:szCs w:val="21"/>
          <w:highlight w:val="none"/>
          <w:lang w:eastAsia="zh-CN"/>
        </w:rPr>
      </w:pPr>
      <w:r>
        <w:rPr>
          <w:rFonts w:hint="eastAsia" w:ascii="宋体"/>
          <w:color w:val="000000"/>
          <w:szCs w:val="21"/>
          <w:highlight w:val="none"/>
        </w:rPr>
        <w:t xml:space="preserve"> (9) 评标委员会根据评审结果推荐中标候选人,主持人宣布评审结果</w:t>
      </w:r>
      <w:r>
        <w:rPr>
          <w:rFonts w:hint="eastAsia" w:ascii="宋体"/>
          <w:color w:val="000000"/>
          <w:szCs w:val="21"/>
          <w:highlight w:val="none"/>
          <w:lang w:eastAsia="zh-CN"/>
        </w:rPr>
        <w:t>；</w:t>
      </w:r>
    </w:p>
    <w:p w14:paraId="166B6F8C">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 xml:space="preserve"> (10) 有关人员在开标记录上签字确认；</w:t>
      </w:r>
    </w:p>
    <w:p w14:paraId="19DF2E03">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（11）开标结束。</w:t>
      </w:r>
    </w:p>
    <w:p w14:paraId="29827C23">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多标段项目按照标包顺序按以上程序依次开标。</w:t>
      </w:r>
    </w:p>
    <w:p w14:paraId="54DFFFDF">
      <w:pPr>
        <w:keepNext w:val="0"/>
        <w:keepLines w:val="0"/>
        <w:pageBreakBefore w:val="0"/>
        <w:kinsoku/>
        <w:overflowPunct/>
        <w:topLinePunct w:val="0"/>
        <w:autoSpaceDE/>
        <w:autoSpaceDN/>
        <w:bidi w:val="0"/>
        <w:spacing w:line="390" w:lineRule="exact"/>
        <w:ind w:right="-155" w:rightChars="-74" w:firstLine="210" w:firstLineChars="100"/>
        <w:jc w:val="left"/>
        <w:rPr>
          <w:rFonts w:hint="eastAsia" w:ascii="宋体" w:hAnsi="宋体"/>
          <w:color w:val="000000"/>
          <w:szCs w:val="21"/>
          <w:highlight w:val="none"/>
        </w:rPr>
      </w:pPr>
      <w:r>
        <w:rPr>
          <w:rFonts w:hint="eastAsia" w:ascii="宋体" w:hAnsi="宋体"/>
          <w:color w:val="000000"/>
          <w:szCs w:val="21"/>
          <w:highlight w:val="none"/>
        </w:rPr>
        <w:t>29.5开标异议</w:t>
      </w:r>
    </w:p>
    <w:p w14:paraId="050E0D13">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投标人对开标有异议的，应当在开标现场提出，采购人当场作出答复，并制作记录。</w:t>
      </w:r>
    </w:p>
    <w:p w14:paraId="36C84C6C">
      <w:pPr>
        <w:keepNext w:val="0"/>
        <w:keepLines w:val="0"/>
        <w:pageBreakBefore w:val="0"/>
        <w:kinsoku/>
        <w:overflowPunct/>
        <w:topLinePunct w:val="0"/>
        <w:autoSpaceDE/>
        <w:autoSpaceDN/>
        <w:bidi w:val="0"/>
        <w:spacing w:line="390" w:lineRule="exact"/>
        <w:ind w:firstLine="422" w:firstLineChars="200"/>
        <w:jc w:val="left"/>
        <w:rPr>
          <w:rFonts w:hint="eastAsia" w:ascii="黑体" w:eastAsia="黑体" w:cs="宋体"/>
          <w:b/>
          <w:color w:val="000000"/>
          <w:szCs w:val="21"/>
          <w:highlight w:val="none"/>
        </w:rPr>
      </w:pPr>
      <w:r>
        <w:rPr>
          <w:rFonts w:hint="eastAsia" w:ascii="黑体" w:eastAsia="黑体" w:cs="宋体"/>
          <w:b/>
          <w:color w:val="000000"/>
          <w:szCs w:val="21"/>
          <w:highlight w:val="none"/>
        </w:rPr>
        <w:t>30 评标委员会</w:t>
      </w:r>
    </w:p>
    <w:p w14:paraId="56557F0E">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30.1  评标委员会的组成</w:t>
      </w:r>
    </w:p>
    <w:p w14:paraId="7537A1EA">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30.1.1评标由采购人依法组建的评标委员会负责。</w:t>
      </w:r>
    </w:p>
    <w:p w14:paraId="059F5C1D">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30.1.2评标委员会负责人依法推荐或确定。</w:t>
      </w:r>
    </w:p>
    <w:p w14:paraId="4ABE12EA">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30.2  评标委员会成员名单在中标结果确定前应当保密。</w:t>
      </w:r>
    </w:p>
    <w:p w14:paraId="67147878">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30.3  评标委员会成员有下述情形的，应当主动提出回避：</w:t>
      </w:r>
    </w:p>
    <w:p w14:paraId="6762240B">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（1）投标人或投标人主要负责人的近亲属；</w:t>
      </w:r>
    </w:p>
    <w:p w14:paraId="40DB11CF">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（2）项目主管部门或者行政监督部门的人员；</w:t>
      </w:r>
    </w:p>
    <w:p w14:paraId="1EF30C73">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（3）与投标人有经济利益关系；</w:t>
      </w:r>
    </w:p>
    <w:p w14:paraId="2278CF87">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（4）曾因在招标、评标以及其他与招标投标有关活动中从事违法行为而受过行政处罚或刑事处罚的；</w:t>
      </w:r>
    </w:p>
    <w:p w14:paraId="07F42065">
      <w:pPr>
        <w:keepNext w:val="0"/>
        <w:keepLines w:val="0"/>
        <w:pageBreakBefore w:val="0"/>
        <w:kinsoku/>
        <w:overflowPunct/>
        <w:topLinePunct w:val="0"/>
        <w:autoSpaceDE/>
        <w:autoSpaceDN/>
        <w:bidi w:val="0"/>
        <w:spacing w:line="390" w:lineRule="exact"/>
        <w:ind w:firstLine="420" w:firstLineChars="200"/>
        <w:rPr>
          <w:rFonts w:hint="eastAsia" w:ascii="宋体" w:cs="宋体"/>
          <w:color w:val="000000"/>
          <w:szCs w:val="21"/>
          <w:highlight w:val="none"/>
        </w:rPr>
      </w:pPr>
      <w:r>
        <w:rPr>
          <w:rFonts w:hint="eastAsia" w:ascii="宋体" w:cs="宋体"/>
          <w:color w:val="000000"/>
          <w:szCs w:val="21"/>
          <w:highlight w:val="none"/>
        </w:rPr>
        <w:t>（5）与投标人有其他利害关系。</w:t>
      </w:r>
    </w:p>
    <w:p w14:paraId="6E2B3543">
      <w:pPr>
        <w:keepNext w:val="0"/>
        <w:keepLines w:val="0"/>
        <w:pageBreakBefore w:val="0"/>
        <w:kinsoku/>
        <w:overflowPunct/>
        <w:topLinePunct w:val="0"/>
        <w:autoSpaceDE/>
        <w:autoSpaceDN/>
        <w:bidi w:val="0"/>
        <w:spacing w:line="390" w:lineRule="exact"/>
        <w:ind w:firstLine="420" w:firstLineChars="200"/>
        <w:rPr>
          <w:rFonts w:hint="eastAsia" w:ascii="宋体" w:cs="宋体"/>
          <w:bCs/>
          <w:color w:val="000000"/>
          <w:szCs w:val="21"/>
          <w:highlight w:val="none"/>
        </w:rPr>
      </w:pPr>
      <w:r>
        <w:rPr>
          <w:rFonts w:hint="eastAsia" w:ascii="宋体" w:cs="宋体"/>
          <w:bCs/>
          <w:color w:val="000000"/>
          <w:szCs w:val="21"/>
          <w:highlight w:val="none"/>
        </w:rPr>
        <w:t>30.</w:t>
      </w:r>
      <w:r>
        <w:rPr>
          <w:rFonts w:hint="eastAsia" w:ascii="宋体" w:cs="宋体"/>
          <w:bCs/>
          <w:color w:val="000000"/>
          <w:szCs w:val="21"/>
          <w:highlight w:val="none"/>
          <w:lang w:val="en-US" w:eastAsia="zh-CN"/>
        </w:rPr>
        <w:t>4</w:t>
      </w:r>
      <w:r>
        <w:rPr>
          <w:rFonts w:hint="eastAsia" w:ascii="宋体" w:cs="宋体"/>
          <w:bCs/>
          <w:color w:val="000000"/>
          <w:szCs w:val="21"/>
          <w:highlight w:val="none"/>
        </w:rPr>
        <w:t xml:space="preserve"> 评标委员会接受采购人授权对投标人资格进行审查。</w:t>
      </w:r>
    </w:p>
    <w:p w14:paraId="0BC3A1C3">
      <w:pPr>
        <w:keepNext w:val="0"/>
        <w:keepLines w:val="0"/>
        <w:pageBreakBefore w:val="0"/>
        <w:tabs>
          <w:tab w:val="left" w:pos="720"/>
        </w:tabs>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30.</w:t>
      </w:r>
      <w:r>
        <w:rPr>
          <w:rFonts w:hint="eastAsia" w:ascii="宋体" w:cs="宋体"/>
          <w:color w:val="000000"/>
          <w:szCs w:val="21"/>
          <w:highlight w:val="none"/>
          <w:lang w:val="en-US" w:eastAsia="zh-CN"/>
        </w:rPr>
        <w:t>5</w:t>
      </w:r>
      <w:r>
        <w:rPr>
          <w:rFonts w:hint="eastAsia" w:ascii="宋体" w:cs="宋体"/>
          <w:color w:val="000000"/>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14:paraId="6EF9C40F">
      <w:pPr>
        <w:keepNext w:val="0"/>
        <w:keepLines w:val="0"/>
        <w:pageBreakBefore w:val="0"/>
        <w:kinsoku/>
        <w:overflowPunct/>
        <w:topLinePunct w:val="0"/>
        <w:autoSpaceDE/>
        <w:autoSpaceDN/>
        <w:bidi w:val="0"/>
        <w:spacing w:line="390" w:lineRule="exact"/>
        <w:ind w:firstLine="207" w:firstLineChars="98"/>
        <w:jc w:val="left"/>
        <w:rPr>
          <w:rFonts w:hint="eastAsia" w:ascii="宋体" w:hAnsi="宋体"/>
          <w:b/>
          <w:color w:val="000000"/>
          <w:szCs w:val="21"/>
          <w:highlight w:val="none"/>
        </w:rPr>
      </w:pPr>
      <w:r>
        <w:rPr>
          <w:rFonts w:hint="eastAsia" w:ascii="宋体" w:hAnsi="宋体"/>
          <w:b/>
          <w:color w:val="000000"/>
          <w:szCs w:val="21"/>
          <w:highlight w:val="none"/>
        </w:rPr>
        <w:t>31. 评标</w:t>
      </w:r>
    </w:p>
    <w:p w14:paraId="4F749446">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31.1  评标准备工作</w:t>
      </w:r>
    </w:p>
    <w:p w14:paraId="5AC9D038">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31.1.1阅读由采购人或招标代理单位编写的招标项目情况的说明材料；</w:t>
      </w:r>
    </w:p>
    <w:p w14:paraId="02BF5B16">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31.1.2阅读、研究招标文件和相关评标资料，获取评标所需要的重要信息和数据；</w:t>
      </w:r>
    </w:p>
    <w:p w14:paraId="49D2E7FC">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31.1.3熟悉招标文件规定的评标方法及在评标过程中需要考虑的相关因素；</w:t>
      </w:r>
    </w:p>
    <w:p w14:paraId="36514B37">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31.1.4核对评标工作用表。</w:t>
      </w:r>
    </w:p>
    <w:p w14:paraId="3B2C228F">
      <w:pPr>
        <w:keepNext w:val="0"/>
        <w:keepLines w:val="0"/>
        <w:pageBreakBefore w:val="0"/>
        <w:kinsoku/>
        <w:overflowPunct/>
        <w:topLinePunct w:val="0"/>
        <w:autoSpaceDE/>
        <w:autoSpaceDN/>
        <w:bidi w:val="0"/>
        <w:spacing w:line="390" w:lineRule="exact"/>
        <w:ind w:firstLine="420" w:firstLineChars="200"/>
        <w:jc w:val="left"/>
        <w:rPr>
          <w:rFonts w:hint="eastAsia" w:ascii="宋体" w:cs="宋体"/>
          <w:color w:val="000000"/>
          <w:szCs w:val="21"/>
          <w:highlight w:val="none"/>
        </w:rPr>
      </w:pPr>
      <w:r>
        <w:rPr>
          <w:rFonts w:hint="eastAsia" w:ascii="宋体" w:cs="宋体"/>
          <w:color w:val="000000"/>
          <w:szCs w:val="21"/>
          <w:highlight w:val="none"/>
        </w:rPr>
        <w:t>31.2  评标办法</w:t>
      </w:r>
    </w:p>
    <w:p w14:paraId="6DC70D51">
      <w:pPr>
        <w:keepNext w:val="0"/>
        <w:keepLines w:val="0"/>
        <w:pageBreakBefore w:val="0"/>
        <w:kinsoku/>
        <w:overflowPunct/>
        <w:topLinePunct w:val="0"/>
        <w:autoSpaceDE/>
        <w:autoSpaceDN/>
        <w:bidi w:val="0"/>
        <w:spacing w:line="390" w:lineRule="exact"/>
        <w:ind w:firstLine="420" w:firstLineChars="200"/>
        <w:jc w:val="left"/>
      </w:pPr>
      <w:r>
        <w:rPr>
          <w:rFonts w:hint="eastAsia" w:ascii="宋体" w:cs="宋体"/>
          <w:color w:val="000000"/>
          <w:szCs w:val="21"/>
          <w:highlight w:val="none"/>
        </w:rPr>
        <w:t>31.2.1评标委员会按照第三章“评标办法”规定的方法、评审因素、标准和程序对投标文件进行评审。第三章“评标办法”没有规定的方法、评审因素和标准，不作为评标依据。</w:t>
      </w:r>
    </w:p>
    <w:p w14:paraId="2FBBFD86">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31.3评标原则：</w:t>
      </w:r>
    </w:p>
    <w:p w14:paraId="4BBF934C">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bookmarkStart w:id="47" w:name="_Toc5272_WPSOffice_Level3"/>
      <w:r>
        <w:rPr>
          <w:rFonts w:hint="eastAsia" w:ascii="宋体" w:cs="宋体"/>
          <w:color w:val="000000"/>
          <w:szCs w:val="21"/>
          <w:highlight w:val="none"/>
        </w:rPr>
        <w:t>31.3.1遵循公平、公正、科学和择优的原则。</w:t>
      </w:r>
      <w:bookmarkEnd w:id="47"/>
    </w:p>
    <w:p w14:paraId="1B2C0DBD">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31.4如评标委员会认为，投标人的报价明显低于其他通过符合性审查投标人的报价，有可能影响服务质量和不能诚信履约的，应当要求其在评标现场合理的时间内提供书面说明，必要时提交相关证明材料；投标人不能证明其报价合理性的，评标委员会应当将其作为无效投标处理。</w:t>
      </w:r>
    </w:p>
    <w:p w14:paraId="2615C127">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31.5评标报告的签署和报价合理性的判断</w:t>
      </w:r>
    </w:p>
    <w:p w14:paraId="1B72F95F">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31.5.1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527D462D">
      <w:pPr>
        <w:keepNext w:val="0"/>
        <w:keepLines w:val="0"/>
        <w:pageBreakBefore w:val="0"/>
        <w:kinsoku/>
        <w:overflowPunct/>
        <w:topLinePunct w:val="0"/>
        <w:autoSpaceDE/>
        <w:autoSpaceDN/>
        <w:bidi w:val="0"/>
        <w:spacing w:line="390" w:lineRule="exact"/>
        <w:ind w:firstLine="420" w:firstLineChars="200"/>
        <w:rPr>
          <w:rFonts w:hint="eastAsia" w:ascii="宋体" w:hAnsi="Times New Roman" w:eastAsia="宋体" w:cs="宋体"/>
          <w:color w:val="000000"/>
          <w:szCs w:val="21"/>
          <w:highlight w:val="none"/>
        </w:rPr>
      </w:pPr>
      <w:r>
        <w:rPr>
          <w:rFonts w:hint="eastAsia" w:ascii="宋体" w:hAnsi="Times New Roman" w:eastAsia="宋体" w:cs="宋体"/>
          <w:color w:val="000000"/>
          <w:szCs w:val="21"/>
          <w:highlight w:val="none"/>
        </w:rPr>
        <w:t>31.5.2 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14:paraId="7F2B48EF">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31.6投标文件的澄清</w:t>
      </w:r>
    </w:p>
    <w:p w14:paraId="36574761">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31.6.1 在评标过程中，评标委员会认为需要，在采购单位的监督下，可要求投标人对投标文件中的有关问题进行澄清或提供补充说明及有关资料，投标人应做出书面答复。</w:t>
      </w:r>
    </w:p>
    <w:p w14:paraId="33B3BA89">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31.6.2 书面答复须经投标人法定代表人或其委托代理人签字或盖章，签字或盖章的书面答复将被视为投标文件的组成部分。</w:t>
      </w:r>
    </w:p>
    <w:p w14:paraId="56B9B747">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31.7评审意见分歧的处理办法:</w:t>
      </w:r>
    </w:p>
    <w:p w14:paraId="4749643D">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（1）评标委员会应当对投标人提供的报告、证明材料及详细说明认真研究。对存在意见分歧的，可采用投票方式表决决定（按多数评委意见为准）；</w:t>
      </w:r>
    </w:p>
    <w:p w14:paraId="6E508ADB">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（2）招标投标当事人对评标结果提出异议或者投诉，采购单位认为需要重新进行评标的，评标委员会成员应当按照采购单位要求重新评标。</w:t>
      </w:r>
    </w:p>
    <w:p w14:paraId="497C2825">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31.8评标过程的保密</w:t>
      </w:r>
    </w:p>
    <w:p w14:paraId="4D707CCC">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31.8.1评标委员会成员和与评标活动有关的工作人员不得透露对投标文件的评审和比较、中标候选人的推荐情况以及与评标有关的其他情况。</w:t>
      </w:r>
    </w:p>
    <w:p w14:paraId="0B2483B0">
      <w:pPr>
        <w:keepNext w:val="0"/>
        <w:keepLines w:val="0"/>
        <w:pageBreakBefore w:val="0"/>
        <w:kinsoku/>
        <w:overflowPunct/>
        <w:topLinePunct w:val="0"/>
        <w:autoSpaceDE/>
        <w:autoSpaceDN/>
        <w:bidi w:val="0"/>
        <w:spacing w:line="390" w:lineRule="exact"/>
        <w:ind w:left="420"/>
        <w:jc w:val="left"/>
        <w:rPr>
          <w:rFonts w:ascii="黑体" w:eastAsia="黑体" w:cs="宋体"/>
          <w:bCs/>
          <w:color w:val="000000"/>
          <w:szCs w:val="21"/>
          <w:highlight w:val="none"/>
        </w:rPr>
      </w:pPr>
      <w:r>
        <w:rPr>
          <w:rFonts w:hint="eastAsia" w:ascii="黑体" w:eastAsia="黑体" w:cs="宋体"/>
          <w:bCs/>
          <w:color w:val="000000"/>
          <w:szCs w:val="21"/>
          <w:highlight w:val="none"/>
        </w:rPr>
        <w:t>32.定标</w:t>
      </w:r>
    </w:p>
    <w:p w14:paraId="7D51AB16">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32.1 中标人的确定</w:t>
      </w:r>
    </w:p>
    <w:p w14:paraId="6FA8057B">
      <w:pPr>
        <w:keepNext w:val="0"/>
        <w:keepLines w:val="0"/>
        <w:pageBreakBefore w:val="0"/>
        <w:kinsoku/>
        <w:overflowPunct/>
        <w:topLinePunct w:val="0"/>
        <w:autoSpaceDE/>
        <w:autoSpaceDN/>
        <w:bidi w:val="0"/>
        <w:spacing w:line="390" w:lineRule="exact"/>
        <w:ind w:firstLine="420" w:firstLineChars="200"/>
        <w:rPr>
          <w:rFonts w:ascii="宋体" w:cs="宋体"/>
          <w:color w:val="000000"/>
          <w:szCs w:val="21"/>
          <w:highlight w:val="none"/>
        </w:rPr>
      </w:pPr>
      <w:r>
        <w:rPr>
          <w:rFonts w:hint="eastAsia" w:ascii="宋体" w:cs="宋体"/>
          <w:color w:val="000000"/>
          <w:szCs w:val="21"/>
          <w:highlight w:val="none"/>
        </w:rPr>
        <w:t>32.1.1除投标人须知前附表规定评标委员会直接确定中标人外，采购人依据评标委员会推荐的中标候选人确定中标人，评标委员会推荐中标候选人的人数见投标人须知前附表。</w:t>
      </w:r>
    </w:p>
    <w:p w14:paraId="199D5E3B">
      <w:pPr>
        <w:keepNext w:val="0"/>
        <w:keepLines w:val="0"/>
        <w:pageBreakBefore w:val="0"/>
        <w:kinsoku/>
        <w:wordWrap w:val="0"/>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32.1.2中标人确定后，采购人应将成交信息在滁州开放大学（http://www.czou.ah.cn/）公告。</w:t>
      </w:r>
    </w:p>
    <w:p w14:paraId="3A9B4F23">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32.2 中标通知书</w:t>
      </w:r>
    </w:p>
    <w:p w14:paraId="4C73BE4A">
      <w:pPr>
        <w:keepNext w:val="0"/>
        <w:keepLines w:val="0"/>
        <w:pageBreakBefore w:val="0"/>
        <w:kinsoku/>
        <w:overflowPunct/>
        <w:topLinePunct w:val="0"/>
        <w:autoSpaceDE/>
        <w:autoSpaceDN/>
        <w:bidi w:val="0"/>
        <w:spacing w:line="390" w:lineRule="exact"/>
        <w:ind w:firstLine="420" w:firstLineChars="200"/>
        <w:textAlignment w:val="auto"/>
        <w:rPr>
          <w:rFonts w:ascii="宋体" w:cs="宋体"/>
          <w:color w:val="000000"/>
          <w:szCs w:val="21"/>
          <w:highlight w:val="none"/>
        </w:rPr>
      </w:pPr>
      <w:r>
        <w:rPr>
          <w:rFonts w:hint="eastAsia" w:ascii="宋体" w:cs="宋体"/>
          <w:color w:val="000000"/>
          <w:szCs w:val="21"/>
          <w:highlight w:val="none"/>
        </w:rPr>
        <w:t>32.2.1采购人或</w:t>
      </w:r>
      <w:r>
        <w:rPr>
          <w:rFonts w:hint="eastAsia" w:ascii="宋体" w:cs="宋体"/>
          <w:color w:val="000000"/>
          <w:szCs w:val="21"/>
          <w:highlight w:val="none"/>
          <w:lang w:eastAsia="zh-CN"/>
        </w:rPr>
        <w:t>采购代理机构</w:t>
      </w:r>
      <w:r>
        <w:rPr>
          <w:rFonts w:hint="eastAsia" w:ascii="宋体" w:cs="宋体"/>
          <w:color w:val="000000"/>
          <w:szCs w:val="21"/>
          <w:highlight w:val="none"/>
        </w:rPr>
        <w:t>应在中标人确定之日起2个工作日内，在</w:t>
      </w:r>
      <w:r>
        <w:rPr>
          <w:rFonts w:hint="eastAsia" w:ascii="宋体" w:hAnsi="宋体" w:cs="宋体"/>
          <w:color w:val="000000"/>
          <w:szCs w:val="21"/>
          <w:highlight w:val="none"/>
          <w:lang w:eastAsia="zh-CN"/>
        </w:rPr>
        <w:t>滁州开放大学</w:t>
      </w:r>
      <w:r>
        <w:rPr>
          <w:rFonts w:hint="eastAsia" w:ascii="宋体" w:hAnsi="宋体" w:cs="宋体"/>
          <w:color w:val="000000"/>
          <w:szCs w:val="21"/>
          <w:highlight w:val="none"/>
        </w:rPr>
        <w:t>官网</w:t>
      </w:r>
      <w:r>
        <w:rPr>
          <w:rFonts w:hint="eastAsia" w:ascii="宋体" w:cs="宋体"/>
          <w:color w:val="000000"/>
          <w:szCs w:val="21"/>
          <w:highlight w:val="none"/>
        </w:rPr>
        <w:t>公告中标结果并同时向中标人发出中标通知书。</w:t>
      </w:r>
    </w:p>
    <w:p w14:paraId="2F2B7CCA">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32.2.2中标通知书须加盖采购人、招标代理公司公章后，方可发出。</w:t>
      </w:r>
    </w:p>
    <w:p w14:paraId="76F2ED74">
      <w:pPr>
        <w:keepNext w:val="0"/>
        <w:keepLines w:val="0"/>
        <w:pageBreakBefore w:val="0"/>
        <w:kinsoku/>
        <w:overflowPunct/>
        <w:topLinePunct w:val="0"/>
        <w:autoSpaceDE/>
        <w:autoSpaceDN/>
        <w:bidi w:val="0"/>
        <w:spacing w:line="390" w:lineRule="exact"/>
        <w:ind w:firstLine="420" w:firstLineChars="200"/>
        <w:textAlignment w:val="auto"/>
        <w:rPr>
          <w:rFonts w:ascii="宋体" w:cs="宋体"/>
          <w:color w:val="000000"/>
          <w:szCs w:val="21"/>
          <w:highlight w:val="none"/>
        </w:rPr>
      </w:pPr>
      <w:r>
        <w:rPr>
          <w:rFonts w:hint="eastAsia" w:ascii="宋体" w:cs="宋体"/>
          <w:color w:val="000000"/>
          <w:szCs w:val="21"/>
          <w:highlight w:val="none"/>
        </w:rPr>
        <w:t>32.2.3采购人将在发出中标通知书的同时，向未通过资格审查的投标人告知其未通过的原因和其评审得分与排序。</w:t>
      </w:r>
    </w:p>
    <w:p w14:paraId="3DCCD00D">
      <w:pPr>
        <w:keepNext w:val="0"/>
        <w:keepLines w:val="0"/>
        <w:pageBreakBefore w:val="0"/>
        <w:kinsoku/>
        <w:overflowPunct/>
        <w:topLinePunct w:val="0"/>
        <w:autoSpaceDE/>
        <w:autoSpaceDN/>
        <w:bidi w:val="0"/>
        <w:spacing w:line="390" w:lineRule="exact"/>
        <w:ind w:firstLine="207" w:firstLineChars="98"/>
        <w:jc w:val="left"/>
        <w:rPr>
          <w:rFonts w:hint="eastAsia" w:ascii="宋体" w:hAnsi="宋体"/>
          <w:b/>
          <w:color w:val="000000"/>
          <w:szCs w:val="21"/>
          <w:highlight w:val="none"/>
        </w:rPr>
      </w:pPr>
      <w:r>
        <w:rPr>
          <w:rFonts w:hint="eastAsia" w:ascii="宋体" w:hAnsi="宋体"/>
          <w:b/>
          <w:color w:val="000000"/>
          <w:szCs w:val="21"/>
          <w:highlight w:val="none"/>
        </w:rPr>
        <w:t>33. 开评审异常情况处理</w:t>
      </w:r>
    </w:p>
    <w:p w14:paraId="7E910185">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 xml:space="preserve">33.1重新招标 </w:t>
      </w:r>
    </w:p>
    <w:p w14:paraId="1B307FB2">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有下列情形之一的，将重新招标：</w:t>
      </w:r>
    </w:p>
    <w:p w14:paraId="108B1D64">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 xml:space="preserve">(1) 投投截止时间止，投标人少于三个的； </w:t>
      </w:r>
    </w:p>
    <w:p w14:paraId="02248A7D">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(2)经评标委员会评审后否决所有投标的；</w:t>
      </w:r>
    </w:p>
    <w:p w14:paraId="581EB807">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(3)出现影响采购公正的违法、违规行为的；</w:t>
      </w:r>
    </w:p>
    <w:p w14:paraId="6B74B7E6">
      <w:pPr>
        <w:keepNext w:val="0"/>
        <w:keepLines w:val="0"/>
        <w:pageBreakBefore w:val="0"/>
        <w:kinsoku/>
        <w:overflowPunct/>
        <w:topLinePunct w:val="0"/>
        <w:autoSpaceDE/>
        <w:autoSpaceDN/>
        <w:bidi w:val="0"/>
        <w:spacing w:line="390" w:lineRule="exact"/>
        <w:ind w:firstLine="420" w:firstLineChars="200"/>
        <w:jc w:val="left"/>
        <w:textAlignment w:val="auto"/>
        <w:rPr>
          <w:rFonts w:ascii="宋体" w:cs="宋体"/>
          <w:color w:val="000000"/>
          <w:szCs w:val="21"/>
          <w:highlight w:val="none"/>
        </w:rPr>
      </w:pPr>
      <w:r>
        <w:rPr>
          <w:rFonts w:hint="eastAsia" w:ascii="宋体" w:cs="宋体"/>
          <w:color w:val="000000"/>
          <w:szCs w:val="21"/>
          <w:highlight w:val="none"/>
        </w:rPr>
        <w:t>(4)投标人的报价均脱离实际且无充分证据的；</w:t>
      </w:r>
    </w:p>
    <w:p w14:paraId="6524C855">
      <w:pPr>
        <w:keepNext w:val="0"/>
        <w:keepLines w:val="0"/>
        <w:pageBreakBefore w:val="0"/>
        <w:kinsoku/>
        <w:overflowPunct/>
        <w:topLinePunct w:val="0"/>
        <w:autoSpaceDE/>
        <w:autoSpaceDN/>
        <w:bidi w:val="0"/>
        <w:spacing w:line="390" w:lineRule="exact"/>
        <w:ind w:firstLine="420" w:firstLineChars="200"/>
        <w:jc w:val="left"/>
        <w:textAlignment w:val="auto"/>
        <w:rPr>
          <w:rFonts w:hint="eastAsia" w:ascii="宋体" w:cs="宋体"/>
          <w:color w:val="000000"/>
          <w:szCs w:val="21"/>
          <w:highlight w:val="none"/>
        </w:rPr>
      </w:pPr>
      <w:r>
        <w:rPr>
          <w:rFonts w:hint="eastAsia" w:ascii="宋体" w:cs="宋体"/>
          <w:color w:val="000000"/>
          <w:szCs w:val="21"/>
          <w:highlight w:val="none"/>
        </w:rPr>
        <w:t>(5)因重大变故，采购任务取消的。</w:t>
      </w:r>
    </w:p>
    <w:p w14:paraId="37DA9C70">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48" w:name="_Toc8453_WPSOffice_Level3"/>
      <w:bookmarkStart w:id="49" w:name="_Toc131512198"/>
      <w:r>
        <w:rPr>
          <w:rFonts w:hint="eastAsia" w:ascii="宋体"/>
          <w:b/>
          <w:color w:val="000000"/>
          <w:sz w:val="24"/>
          <w:szCs w:val="24"/>
          <w:highlight w:val="none"/>
        </w:rPr>
        <w:t>（六）合同的授予</w:t>
      </w:r>
      <w:bookmarkEnd w:id="48"/>
      <w:bookmarkEnd w:id="49"/>
    </w:p>
    <w:p w14:paraId="4CF84FD4">
      <w:pPr>
        <w:keepNext w:val="0"/>
        <w:keepLines w:val="0"/>
        <w:pageBreakBefore w:val="0"/>
        <w:kinsoku/>
        <w:overflowPunct/>
        <w:topLinePunct w:val="0"/>
        <w:autoSpaceDE/>
        <w:autoSpaceDN/>
        <w:bidi w:val="0"/>
        <w:spacing w:line="390" w:lineRule="exact"/>
        <w:ind w:firstLine="521" w:firstLineChars="247"/>
        <w:jc w:val="left"/>
        <w:rPr>
          <w:rFonts w:hint="eastAsia" w:ascii="宋体" w:hAnsi="宋体"/>
          <w:b/>
          <w:color w:val="000000"/>
          <w:szCs w:val="21"/>
          <w:highlight w:val="none"/>
        </w:rPr>
      </w:pPr>
      <w:r>
        <w:rPr>
          <w:rFonts w:hint="eastAsia" w:ascii="宋体" w:hAnsi="宋体"/>
          <w:b/>
          <w:color w:val="000000"/>
          <w:szCs w:val="21"/>
          <w:highlight w:val="none"/>
        </w:rPr>
        <w:t>34. 合同授予标准</w:t>
      </w:r>
    </w:p>
    <w:p w14:paraId="544A70C3">
      <w:pPr>
        <w:keepNext w:val="0"/>
        <w:keepLines w:val="0"/>
        <w:pageBreakBefore w:val="0"/>
        <w:kinsoku/>
        <w:overflowPunct/>
        <w:topLinePunct w:val="0"/>
        <w:autoSpaceDE/>
        <w:autoSpaceDN/>
        <w:bidi w:val="0"/>
        <w:spacing w:line="390" w:lineRule="exact"/>
        <w:ind w:firstLine="525" w:firstLineChars="250"/>
        <w:jc w:val="left"/>
        <w:rPr>
          <w:rFonts w:hint="eastAsia" w:ascii="宋体" w:hAnsi="宋体"/>
          <w:color w:val="000000"/>
          <w:szCs w:val="21"/>
          <w:highlight w:val="none"/>
        </w:rPr>
      </w:pPr>
      <w:r>
        <w:rPr>
          <w:rFonts w:hint="eastAsia" w:ascii="宋体" w:cs="宋体"/>
          <w:color w:val="000000"/>
          <w:szCs w:val="21"/>
          <w:highlight w:val="none"/>
        </w:rPr>
        <w:t>34.1  本招标项目的合同将授予按本投标须知第32条规定所确定的中标人</w:t>
      </w:r>
      <w:r>
        <w:rPr>
          <w:rFonts w:hint="eastAsia" w:ascii="宋体" w:hAnsi="宋体"/>
          <w:color w:val="000000"/>
          <w:szCs w:val="21"/>
          <w:highlight w:val="none"/>
        </w:rPr>
        <w:t>。</w:t>
      </w:r>
    </w:p>
    <w:p w14:paraId="6E69AB46">
      <w:pPr>
        <w:keepNext w:val="0"/>
        <w:keepLines w:val="0"/>
        <w:pageBreakBefore w:val="0"/>
        <w:kinsoku/>
        <w:overflowPunct/>
        <w:topLinePunct w:val="0"/>
        <w:autoSpaceDE/>
        <w:autoSpaceDN/>
        <w:bidi w:val="0"/>
        <w:spacing w:line="390" w:lineRule="exact"/>
        <w:ind w:firstLine="521" w:firstLineChars="247"/>
        <w:jc w:val="left"/>
        <w:rPr>
          <w:rFonts w:hint="eastAsia" w:ascii="宋体" w:hAnsi="宋体"/>
          <w:b/>
          <w:color w:val="000000"/>
          <w:szCs w:val="21"/>
          <w:highlight w:val="none"/>
        </w:rPr>
      </w:pPr>
      <w:r>
        <w:rPr>
          <w:rFonts w:hint="eastAsia" w:ascii="宋体" w:hAnsi="宋体"/>
          <w:b/>
          <w:color w:val="000000"/>
          <w:szCs w:val="21"/>
          <w:highlight w:val="none"/>
        </w:rPr>
        <w:t>35. 合同协议书的签订</w:t>
      </w:r>
    </w:p>
    <w:p w14:paraId="43824431">
      <w:pPr>
        <w:keepNext w:val="0"/>
        <w:keepLines w:val="0"/>
        <w:pageBreakBefore w:val="0"/>
        <w:kinsoku/>
        <w:overflowPunct/>
        <w:topLinePunct w:val="0"/>
        <w:autoSpaceDE/>
        <w:autoSpaceDN/>
        <w:bidi w:val="0"/>
        <w:spacing w:line="390" w:lineRule="exact"/>
        <w:ind w:firstLine="396" w:firstLineChars="200"/>
        <w:jc w:val="left"/>
        <w:rPr>
          <w:rFonts w:ascii="宋体" w:cs="宋体"/>
          <w:color w:val="000000"/>
          <w:spacing w:val="-6"/>
          <w:szCs w:val="21"/>
          <w:highlight w:val="none"/>
        </w:rPr>
      </w:pPr>
      <w:r>
        <w:rPr>
          <w:rFonts w:hint="eastAsia" w:ascii="宋体" w:cs="宋体"/>
          <w:color w:val="000000"/>
          <w:spacing w:val="-6"/>
          <w:szCs w:val="21"/>
          <w:highlight w:val="none"/>
        </w:rPr>
        <w:t>35.1采购人与中标人将于中标通知书发出之日起7个工作日内，按照招标文件和中标人的投标文件订立书面采购合同。采购人和中标人不得再行订立背离合同实质性内容的其他协议。</w:t>
      </w:r>
    </w:p>
    <w:p w14:paraId="3279A809">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35.2 采购人如不按本投标须知第32条的规定与中标人订立合同，或者采购人、中标人订立背离合同实质性内容的协议，采购人应当按投标保证金的数额对投标人进行赔偿，给投标人造成的损失超过投标保证金数额的，还应当对超过部分予以赔偿，同时依法承担相应法律责任。</w:t>
      </w:r>
    </w:p>
    <w:p w14:paraId="1A62DD62">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35.3中标人如不按本投标须知第32条的规定与采购人订立合同，则采购人将废除授标，投标担保金不予退还，给采购人造成的损失超过投标担保数额的，还应当对超过部分予以赔偿，同时依法承担相应法律责任。</w:t>
      </w:r>
    </w:p>
    <w:p w14:paraId="77611D42">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35.4中标人应当按照合同约定履行义务，完成中标项目，不得将中标项目转让（转包）给他人。</w:t>
      </w:r>
    </w:p>
    <w:p w14:paraId="593170B5">
      <w:pPr>
        <w:keepNext w:val="0"/>
        <w:keepLines w:val="0"/>
        <w:pageBreakBefore w:val="0"/>
        <w:tabs>
          <w:tab w:val="left" w:pos="2847"/>
        </w:tabs>
        <w:kinsoku/>
        <w:overflowPunct/>
        <w:topLinePunct w:val="0"/>
        <w:autoSpaceDE/>
        <w:autoSpaceDN/>
        <w:bidi w:val="0"/>
        <w:spacing w:line="390" w:lineRule="exact"/>
        <w:rPr>
          <w:rFonts w:hint="eastAsia" w:ascii="宋体" w:hAnsi="宋体"/>
          <w:b/>
          <w:color w:val="000000"/>
          <w:szCs w:val="21"/>
          <w:highlight w:val="none"/>
        </w:rPr>
      </w:pPr>
      <w:r>
        <w:rPr>
          <w:rFonts w:hint="eastAsia" w:ascii="宋体" w:hAnsi="宋体"/>
          <w:color w:val="000000"/>
          <w:szCs w:val="21"/>
          <w:highlight w:val="none"/>
        </w:rPr>
        <w:t xml:space="preserve">    </w:t>
      </w:r>
      <w:bookmarkStart w:id="50" w:name="_Toc7247"/>
      <w:r>
        <w:rPr>
          <w:rFonts w:hint="eastAsia" w:ascii="宋体" w:hAnsi="宋体"/>
          <w:b/>
          <w:color w:val="000000"/>
          <w:szCs w:val="21"/>
          <w:highlight w:val="none"/>
        </w:rPr>
        <w:t>36.</w:t>
      </w:r>
      <w:bookmarkStart w:id="51" w:name="_Toc217446068"/>
      <w:r>
        <w:rPr>
          <w:rFonts w:hint="eastAsia" w:ascii="宋体" w:hAnsi="宋体"/>
          <w:b/>
          <w:color w:val="000000"/>
          <w:szCs w:val="21"/>
          <w:highlight w:val="none"/>
        </w:rPr>
        <w:t xml:space="preserve"> 履约保证金</w:t>
      </w:r>
      <w:bookmarkEnd w:id="50"/>
      <w:bookmarkEnd w:id="51"/>
      <w:r>
        <w:rPr>
          <w:rFonts w:hint="eastAsia" w:ascii="宋体" w:hAnsi="宋体"/>
          <w:b/>
          <w:color w:val="000000"/>
          <w:szCs w:val="21"/>
          <w:highlight w:val="none"/>
        </w:rPr>
        <w:t>（本条不采用）</w:t>
      </w:r>
    </w:p>
    <w:p w14:paraId="01E2150E">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36.1在签订合同前，中标人应按投标人须知前附表规定的担保形式、金额和招标文件第五章“合同条款及格式”规定的或者事先经过采购人书面认可的履约担保格式向采购人提交履约担保。</w:t>
      </w:r>
    </w:p>
    <w:p w14:paraId="2999182C">
      <w:pPr>
        <w:keepNext w:val="0"/>
        <w:keepLines w:val="0"/>
        <w:pageBreakBefore w:val="0"/>
        <w:kinsoku/>
        <w:overflowPunct/>
        <w:topLinePunct w:val="0"/>
        <w:autoSpaceDE/>
        <w:autoSpaceDN/>
        <w:bidi w:val="0"/>
        <w:spacing w:line="390" w:lineRule="exact"/>
        <w:ind w:firstLine="420" w:firstLineChars="200"/>
        <w:jc w:val="left"/>
        <w:rPr>
          <w:rFonts w:ascii="宋体" w:cs="宋体"/>
          <w:color w:val="000000"/>
          <w:szCs w:val="21"/>
          <w:highlight w:val="none"/>
        </w:rPr>
      </w:pPr>
      <w:r>
        <w:rPr>
          <w:rFonts w:hint="eastAsia" w:ascii="宋体" w:cs="宋体"/>
          <w:color w:val="000000"/>
          <w:szCs w:val="21"/>
          <w:highlight w:val="none"/>
        </w:rPr>
        <w:t>36.2 中标人不能按本章第36.1项要求提交履约担保的，视为放弃中标，其投标保证金不予退还，给采购人造成的损失超过投标保证金数额的，中标人还应当对超过部分予以赔偿。</w:t>
      </w:r>
    </w:p>
    <w:p w14:paraId="2F56172D">
      <w:pPr>
        <w:keepNext w:val="0"/>
        <w:keepLines w:val="0"/>
        <w:pageBreakBefore w:val="0"/>
        <w:kinsoku/>
        <w:overflowPunct/>
        <w:topLinePunct w:val="0"/>
        <w:autoSpaceDE/>
        <w:autoSpaceDN/>
        <w:bidi w:val="0"/>
        <w:spacing w:line="390" w:lineRule="exact"/>
        <w:ind w:firstLine="420" w:firstLineChars="200"/>
        <w:jc w:val="left"/>
        <w:rPr>
          <w:rFonts w:hint="eastAsia" w:ascii="宋体"/>
          <w:color w:val="000000"/>
          <w:szCs w:val="21"/>
          <w:highlight w:val="none"/>
        </w:rPr>
      </w:pPr>
      <w:r>
        <w:rPr>
          <w:rFonts w:hint="eastAsia" w:ascii="宋体"/>
          <w:color w:val="000000"/>
          <w:szCs w:val="21"/>
          <w:highlight w:val="none"/>
        </w:rPr>
        <w:t>36.3履约保证金退还：</w:t>
      </w:r>
      <w:r>
        <w:rPr>
          <w:rFonts w:hint="eastAsia" w:ascii="宋体" w:cs="宋体"/>
          <w:color w:val="000000"/>
          <w:szCs w:val="21"/>
          <w:highlight w:val="none"/>
        </w:rPr>
        <w:t>见投标人须知前附表。</w:t>
      </w:r>
    </w:p>
    <w:p w14:paraId="4212DCC9">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2"/>
        <w:rPr>
          <w:rFonts w:hint="eastAsia" w:ascii="宋体"/>
          <w:b/>
          <w:color w:val="000000"/>
          <w:sz w:val="24"/>
          <w:szCs w:val="24"/>
          <w:highlight w:val="none"/>
        </w:rPr>
      </w:pPr>
      <w:bookmarkStart w:id="52" w:name="_Toc131512199"/>
      <w:bookmarkStart w:id="53" w:name="_Toc316_WPSOffice_Level3"/>
      <w:r>
        <w:rPr>
          <w:rFonts w:hint="eastAsia" w:ascii="宋体"/>
          <w:b/>
          <w:color w:val="000000"/>
          <w:sz w:val="24"/>
          <w:szCs w:val="24"/>
          <w:highlight w:val="none"/>
        </w:rPr>
        <w:t>（七）纪律和监督</w:t>
      </w:r>
      <w:bookmarkEnd w:id="52"/>
      <w:bookmarkEnd w:id="53"/>
    </w:p>
    <w:p w14:paraId="25E90B25">
      <w:pPr>
        <w:keepNext w:val="0"/>
        <w:keepLines w:val="0"/>
        <w:pageBreakBefore w:val="0"/>
        <w:kinsoku/>
        <w:overflowPunct/>
        <w:topLinePunct w:val="0"/>
        <w:autoSpaceDE/>
        <w:autoSpaceDN/>
        <w:bidi w:val="0"/>
        <w:spacing w:line="39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37. 对采购人的纪律要求 </w:t>
      </w:r>
    </w:p>
    <w:p w14:paraId="647540F6">
      <w:pPr>
        <w:keepNext w:val="0"/>
        <w:keepLines w:val="0"/>
        <w:pageBreakBefore w:val="0"/>
        <w:kinsoku/>
        <w:overflowPunct/>
        <w:topLinePunct w:val="0"/>
        <w:autoSpaceDE/>
        <w:autoSpaceDN/>
        <w:bidi w:val="0"/>
        <w:adjustRightInd w:val="0"/>
        <w:snapToGrid w:val="0"/>
        <w:spacing w:line="390" w:lineRule="exact"/>
        <w:ind w:firstLine="420" w:firstLineChars="200"/>
        <w:rPr>
          <w:rFonts w:ascii="宋体" w:cs="宋体"/>
          <w:color w:val="000000"/>
          <w:kern w:val="10"/>
          <w:szCs w:val="21"/>
          <w:highlight w:val="none"/>
        </w:rPr>
      </w:pPr>
      <w:r>
        <w:rPr>
          <w:rFonts w:hint="eastAsia" w:ascii="宋体" w:cs="宋体"/>
          <w:color w:val="000000"/>
          <w:kern w:val="10"/>
          <w:szCs w:val="21"/>
          <w:highlight w:val="none"/>
        </w:rPr>
        <w:t xml:space="preserve">37.1采购人不得泄漏招标投标活动中应当保密的情况和资料，不得与投标人串通损害国家利益，社会公共利益或者他人合法权益。 </w:t>
      </w:r>
    </w:p>
    <w:p w14:paraId="52530F7A">
      <w:pPr>
        <w:keepNext w:val="0"/>
        <w:keepLines w:val="0"/>
        <w:pageBreakBefore w:val="0"/>
        <w:kinsoku/>
        <w:overflowPunct/>
        <w:topLinePunct w:val="0"/>
        <w:autoSpaceDE/>
        <w:autoSpaceDN/>
        <w:bidi w:val="0"/>
        <w:spacing w:line="39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38. 对投标人的纪律要求 </w:t>
      </w:r>
    </w:p>
    <w:p w14:paraId="6A87D641">
      <w:pPr>
        <w:keepNext w:val="0"/>
        <w:keepLines w:val="0"/>
        <w:pageBreakBefore w:val="0"/>
        <w:kinsoku/>
        <w:overflowPunct/>
        <w:topLinePunct w:val="0"/>
        <w:autoSpaceDE/>
        <w:autoSpaceDN/>
        <w:bidi w:val="0"/>
        <w:adjustRightInd w:val="0"/>
        <w:snapToGrid w:val="0"/>
        <w:spacing w:line="390" w:lineRule="exact"/>
        <w:ind w:firstLine="420" w:firstLineChars="200"/>
        <w:rPr>
          <w:rFonts w:ascii="宋体" w:cs="宋体"/>
          <w:color w:val="000000"/>
          <w:kern w:val="10"/>
          <w:szCs w:val="21"/>
          <w:highlight w:val="none"/>
        </w:rPr>
      </w:pPr>
      <w:r>
        <w:rPr>
          <w:rFonts w:hint="eastAsia" w:ascii="宋体" w:cs="宋体"/>
          <w:color w:val="000000"/>
          <w:kern w:val="10"/>
          <w:szCs w:val="21"/>
          <w:highlight w:val="none"/>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54F6FD9B">
      <w:pPr>
        <w:keepNext w:val="0"/>
        <w:keepLines w:val="0"/>
        <w:pageBreakBefore w:val="0"/>
        <w:kinsoku/>
        <w:overflowPunct/>
        <w:topLinePunct w:val="0"/>
        <w:autoSpaceDE/>
        <w:autoSpaceDN/>
        <w:bidi w:val="0"/>
        <w:spacing w:line="390" w:lineRule="exact"/>
        <w:ind w:firstLine="422" w:firstLineChars="200"/>
        <w:jc w:val="left"/>
        <w:rPr>
          <w:rFonts w:ascii="黑体" w:eastAsia="黑体" w:cs="宋体"/>
          <w:b/>
          <w:color w:val="000000"/>
          <w:szCs w:val="21"/>
          <w:highlight w:val="none"/>
        </w:rPr>
      </w:pPr>
      <w:r>
        <w:rPr>
          <w:rFonts w:hint="eastAsia" w:ascii="宋体" w:hAnsi="宋体" w:eastAsia="宋体" w:cs="宋体"/>
          <w:b/>
          <w:color w:val="000000"/>
          <w:szCs w:val="21"/>
          <w:highlight w:val="none"/>
        </w:rPr>
        <w:t>39. 对评标委员会成员的纪律要求</w:t>
      </w:r>
      <w:r>
        <w:rPr>
          <w:rFonts w:hint="eastAsia" w:ascii="黑体" w:eastAsia="黑体" w:cs="宋体"/>
          <w:b/>
          <w:color w:val="000000"/>
          <w:szCs w:val="21"/>
          <w:highlight w:val="none"/>
        </w:rPr>
        <w:t xml:space="preserve"> </w:t>
      </w:r>
    </w:p>
    <w:p w14:paraId="09F8008F">
      <w:pPr>
        <w:keepNext w:val="0"/>
        <w:keepLines w:val="0"/>
        <w:pageBreakBefore w:val="0"/>
        <w:kinsoku/>
        <w:overflowPunct/>
        <w:topLinePunct w:val="0"/>
        <w:autoSpaceDE/>
        <w:autoSpaceDN/>
        <w:bidi w:val="0"/>
        <w:adjustRightInd w:val="0"/>
        <w:snapToGrid w:val="0"/>
        <w:spacing w:line="390" w:lineRule="exact"/>
        <w:ind w:firstLine="420" w:firstLineChars="200"/>
        <w:rPr>
          <w:rFonts w:ascii="宋体" w:cs="宋体"/>
          <w:color w:val="000000"/>
          <w:kern w:val="10"/>
          <w:szCs w:val="21"/>
          <w:highlight w:val="none"/>
        </w:rPr>
      </w:pPr>
      <w:r>
        <w:rPr>
          <w:rFonts w:hint="eastAsia" w:ascii="宋体" w:cs="宋体"/>
          <w:color w:val="000000"/>
          <w:kern w:val="10"/>
          <w:szCs w:val="21"/>
          <w:highlight w:val="none"/>
        </w:rPr>
        <w:t>39.1评标委员会成员不得收受他人的财物或者其他好处，不得向他人透漏对投标文件的评审和比较、中标候选人的推荐情况以及评标有关的其他情况。</w:t>
      </w:r>
    </w:p>
    <w:p w14:paraId="3D63093E">
      <w:pPr>
        <w:keepNext w:val="0"/>
        <w:keepLines w:val="0"/>
        <w:pageBreakBefore w:val="0"/>
        <w:kinsoku/>
        <w:overflowPunct/>
        <w:topLinePunct w:val="0"/>
        <w:autoSpaceDE/>
        <w:autoSpaceDN/>
        <w:bidi w:val="0"/>
        <w:adjustRightInd w:val="0"/>
        <w:snapToGrid w:val="0"/>
        <w:spacing w:line="390" w:lineRule="exact"/>
        <w:ind w:firstLine="420" w:firstLineChars="200"/>
        <w:rPr>
          <w:rFonts w:ascii="宋体" w:cs="宋体"/>
          <w:color w:val="000000"/>
          <w:kern w:val="10"/>
          <w:szCs w:val="21"/>
          <w:highlight w:val="none"/>
        </w:rPr>
      </w:pPr>
      <w:r>
        <w:rPr>
          <w:rFonts w:hint="eastAsia" w:ascii="宋体" w:cs="宋体"/>
          <w:color w:val="000000"/>
          <w:kern w:val="10"/>
          <w:szCs w:val="21"/>
          <w:highlight w:val="none"/>
        </w:rPr>
        <w:t xml:space="preserve">39.2在评标活动中，评标委员会成员不得擅离职守，影响评标程序正常进行，不得使用第三章“评标办法”没有规定的评审因素和标准进行评标。 </w:t>
      </w:r>
    </w:p>
    <w:p w14:paraId="17E50DE7">
      <w:pPr>
        <w:keepNext w:val="0"/>
        <w:keepLines w:val="0"/>
        <w:pageBreakBefore w:val="0"/>
        <w:kinsoku/>
        <w:overflowPunct/>
        <w:topLinePunct w:val="0"/>
        <w:autoSpaceDE/>
        <w:autoSpaceDN/>
        <w:bidi w:val="0"/>
        <w:spacing w:line="39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40. 对与评标活动有关的工作人员的纪律要求 </w:t>
      </w:r>
    </w:p>
    <w:p w14:paraId="621CA45B">
      <w:pPr>
        <w:keepNext w:val="0"/>
        <w:keepLines w:val="0"/>
        <w:pageBreakBefore w:val="0"/>
        <w:kinsoku/>
        <w:overflowPunct/>
        <w:topLinePunct w:val="0"/>
        <w:autoSpaceDE/>
        <w:autoSpaceDN/>
        <w:bidi w:val="0"/>
        <w:adjustRightInd w:val="0"/>
        <w:snapToGrid w:val="0"/>
        <w:spacing w:line="390" w:lineRule="exact"/>
        <w:ind w:firstLine="420" w:firstLineChars="200"/>
        <w:rPr>
          <w:rFonts w:ascii="宋体" w:cs="宋体"/>
          <w:b/>
          <w:color w:val="000000"/>
          <w:szCs w:val="21"/>
          <w:highlight w:val="none"/>
        </w:rPr>
      </w:pPr>
      <w:r>
        <w:rPr>
          <w:rFonts w:hint="eastAsia" w:ascii="宋体" w:cs="宋体"/>
          <w:color w:val="000000"/>
          <w:kern w:val="10"/>
          <w:szCs w:val="21"/>
          <w:highlight w:val="none"/>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169E1B">
      <w:pPr>
        <w:keepNext w:val="0"/>
        <w:keepLines w:val="0"/>
        <w:pageBreakBefore w:val="0"/>
        <w:widowControl w:val="0"/>
        <w:kinsoku/>
        <w:overflowPunct/>
        <w:topLinePunct w:val="0"/>
        <w:autoSpaceDE/>
        <w:autoSpaceDN/>
        <w:bidi w:val="0"/>
        <w:snapToGrid w:val="0"/>
        <w:spacing w:before="156" w:beforeLines="50" w:after="156" w:afterLines="50" w:line="390" w:lineRule="exact"/>
        <w:jc w:val="center"/>
        <w:outlineLvl w:val="1"/>
        <w:rPr>
          <w:rFonts w:ascii="宋体"/>
          <w:b/>
          <w:color w:val="000000"/>
          <w:sz w:val="24"/>
          <w:szCs w:val="24"/>
          <w:highlight w:val="none"/>
        </w:rPr>
      </w:pPr>
      <w:bookmarkStart w:id="54" w:name="_Toc9697"/>
      <w:bookmarkStart w:id="55" w:name="_Toc11932"/>
      <w:bookmarkStart w:id="56" w:name="_Toc31497_WPSOffice_Level2"/>
      <w:bookmarkStart w:id="57" w:name="_Toc131512200"/>
      <w:r>
        <w:rPr>
          <w:rFonts w:hint="eastAsia" w:ascii="宋体"/>
          <w:b/>
          <w:color w:val="000000"/>
          <w:sz w:val="24"/>
          <w:szCs w:val="24"/>
          <w:highlight w:val="none"/>
        </w:rPr>
        <w:t>（八）质疑与投诉</w:t>
      </w:r>
      <w:bookmarkEnd w:id="54"/>
      <w:bookmarkEnd w:id="55"/>
      <w:bookmarkEnd w:id="56"/>
      <w:bookmarkEnd w:id="57"/>
    </w:p>
    <w:p w14:paraId="2D683F4E">
      <w:pPr>
        <w:keepNext w:val="0"/>
        <w:keepLines w:val="0"/>
        <w:pageBreakBefore w:val="0"/>
        <w:kinsoku/>
        <w:overflowPunct/>
        <w:topLinePunct w:val="0"/>
        <w:autoSpaceDE/>
        <w:autoSpaceDN/>
        <w:bidi w:val="0"/>
        <w:spacing w:line="39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41. 询问、质疑</w:t>
      </w:r>
    </w:p>
    <w:p w14:paraId="5BF1B4BC">
      <w:pPr>
        <w:keepNext w:val="0"/>
        <w:keepLines w:val="0"/>
        <w:pageBreakBefore w:val="0"/>
        <w:kinsoku/>
        <w:overflowPunct/>
        <w:topLinePunct w:val="0"/>
        <w:autoSpaceDE/>
        <w:autoSpaceDN/>
        <w:bidi w:val="0"/>
        <w:spacing w:line="390" w:lineRule="exact"/>
        <w:ind w:right="-92" w:rightChars="-44" w:firstLine="315" w:firstLineChars="150"/>
        <w:jc w:val="left"/>
        <w:rPr>
          <w:rFonts w:ascii="宋体"/>
          <w:color w:val="000000"/>
          <w:szCs w:val="21"/>
          <w:highlight w:val="none"/>
        </w:rPr>
      </w:pPr>
      <w:r>
        <w:rPr>
          <w:rFonts w:hint="eastAsia" w:ascii="宋体"/>
          <w:color w:val="000000"/>
          <w:szCs w:val="21"/>
          <w:highlight w:val="none"/>
        </w:rPr>
        <w:t>41.1 投标人对招标活动事项有疑问的，可以向采购人或其委托的采购代理机构提出询问，采购人或其委托的采购代理机构将在三个工作日内作出答复，但答复的内容不涉及商业秘密。</w:t>
      </w:r>
    </w:p>
    <w:p w14:paraId="079F0EFB">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41.2 投标人认为招标文件、采购过程、中标或者成交结果使自己的权益受到损害的，可以在知道或者应知其权益受到损害之日起7个工作日内，以书面形式将质疑文件原件送达采购人或其委托的采购代理机构。</w:t>
      </w:r>
    </w:p>
    <w:p w14:paraId="477ED331">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41.3 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14:paraId="201E7049">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41.4 质疑文件应包括以下主要内容，并按照“谁主张、谁举证”的原则，附上相关证明材料。否则，采购人不予受理：　　　　　　　</w:t>
      </w:r>
    </w:p>
    <w:p w14:paraId="04692284">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（1）质疑项目名称、招标公告发布时间、开标时间；</w:t>
      </w:r>
    </w:p>
    <w:p w14:paraId="388FAA5B">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（2）提起质疑的日期、具体的质疑事项及事实根据（具体条款）；</w:t>
      </w:r>
    </w:p>
    <w:p w14:paraId="38FA9668">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（3）认为自己合法权益受到损害或可能受到损害的相关证据材料。质疑相关证明材料中如涉及到产品功能或技术指标的，应出具相关制造商的证明文件；</w:t>
      </w:r>
    </w:p>
    <w:p w14:paraId="6D419251">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（4）质疑投标人名称、地址、邮编、联系人、联系电话（包括座机、手机、传真号码等）；</w:t>
      </w:r>
    </w:p>
    <w:p w14:paraId="1A7BB55D">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（5）质疑文件应当署名，质疑人为自然人的，应当由本人签字并附有效身份证明；质疑人为法人或其他组织的，应当由法定代表人签字并加盖单位公章。</w:t>
      </w:r>
    </w:p>
    <w:p w14:paraId="67789EA7">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（6）投标人委托代理质疑的，应当向被质疑人提交授权委托书，并载明委托代理的具体权限和事项。</w:t>
      </w:r>
    </w:p>
    <w:p w14:paraId="554AAF39">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41.5采购人或其委托的采购代理机构在收到投标人的质疑函后，将审查质疑函的格式、内容以及所附的证明文件是否符合要求。如不符合，说明原因退回投标人；如符合要求，则接受该质疑函并向投标人出具受理证明。采购人将及时组织调查核实，在七个工作日内作出答复，答复的内容不涉及商业秘密。</w:t>
      </w:r>
    </w:p>
    <w:p w14:paraId="6C28DE34">
      <w:pPr>
        <w:keepNext w:val="0"/>
        <w:keepLines w:val="0"/>
        <w:pageBreakBefore w:val="0"/>
        <w:kinsoku/>
        <w:overflowPunct/>
        <w:topLinePunct w:val="0"/>
        <w:autoSpaceDE/>
        <w:autoSpaceDN/>
        <w:bidi w:val="0"/>
        <w:spacing w:line="390" w:lineRule="exact"/>
        <w:ind w:firstLine="420" w:firstLineChars="200"/>
        <w:jc w:val="left"/>
        <w:rPr>
          <w:rFonts w:ascii="宋体"/>
          <w:color w:val="000000"/>
          <w:szCs w:val="21"/>
          <w:highlight w:val="none"/>
        </w:rPr>
      </w:pPr>
      <w:r>
        <w:rPr>
          <w:rFonts w:hint="eastAsia" w:ascii="宋体"/>
          <w:color w:val="000000"/>
          <w:szCs w:val="21"/>
          <w:highlight w:val="none"/>
        </w:rPr>
        <w:t>41.5处理质疑的时间，从实际接受投标人质疑函、出具受理证明的时间开始计算。</w:t>
      </w:r>
    </w:p>
    <w:p w14:paraId="19183288">
      <w:pPr>
        <w:keepNext w:val="0"/>
        <w:keepLines w:val="0"/>
        <w:pageBreakBefore w:val="0"/>
        <w:kinsoku/>
        <w:overflowPunct/>
        <w:topLinePunct w:val="0"/>
        <w:autoSpaceDE/>
        <w:autoSpaceDN/>
        <w:bidi w:val="0"/>
        <w:spacing w:line="39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42. 投诉</w:t>
      </w:r>
    </w:p>
    <w:p w14:paraId="6E3A1C9D">
      <w:pPr>
        <w:keepNext w:val="0"/>
        <w:keepLines w:val="0"/>
        <w:pageBreakBefore w:val="0"/>
        <w:kinsoku/>
        <w:overflowPunct/>
        <w:topLinePunct w:val="0"/>
        <w:autoSpaceDE/>
        <w:autoSpaceDN/>
        <w:bidi w:val="0"/>
        <w:spacing w:line="390" w:lineRule="exact"/>
        <w:ind w:firstLine="420" w:firstLineChars="200"/>
        <w:jc w:val="left"/>
        <w:rPr>
          <w:rFonts w:hint="eastAsia" w:ascii="宋体"/>
          <w:color w:val="000000"/>
          <w:szCs w:val="21"/>
          <w:highlight w:val="none"/>
        </w:rPr>
      </w:pPr>
      <w:r>
        <w:rPr>
          <w:rFonts w:hint="eastAsia" w:ascii="宋体"/>
          <w:color w:val="000000"/>
          <w:szCs w:val="21"/>
          <w:highlight w:val="none"/>
        </w:rPr>
        <w:t>42.1投标人对采购人的答复不满意，或者采购人未在规定的时间内答复的，可以在答复期满后十五个工作日内按有关规定，向同级政府采购监管部门进行投诉。</w:t>
      </w:r>
    </w:p>
    <w:p w14:paraId="393A35FA">
      <w:pPr>
        <w:pStyle w:val="21"/>
        <w:ind w:firstLine="560"/>
        <w:rPr>
          <w:rFonts w:hAnsi="宋体" w:cs="宋体"/>
          <w:color w:val="auto"/>
          <w:szCs w:val="21"/>
        </w:rPr>
      </w:pPr>
    </w:p>
    <w:p w14:paraId="109018CE">
      <w:pPr>
        <w:rPr>
          <w:rFonts w:ascii="宋体" w:hAnsi="宋体" w:cs="宋体"/>
          <w:color w:val="auto"/>
          <w:szCs w:val="21"/>
        </w:rPr>
      </w:pPr>
    </w:p>
    <w:p w14:paraId="02653E99">
      <w:pPr>
        <w:pageBreakBefore/>
        <w:spacing w:before="162" w:beforeLines="50" w:after="162" w:afterLines="50" w:line="440" w:lineRule="exact"/>
        <w:jc w:val="center"/>
        <w:outlineLvl w:val="0"/>
        <w:rPr>
          <w:rFonts w:hint="eastAsia" w:ascii="宋体" w:hAnsi="宋体" w:eastAsia="宋体" w:cs="宋体"/>
          <w:b/>
          <w:bCs/>
          <w:color w:val="auto"/>
          <w:sz w:val="32"/>
          <w:szCs w:val="32"/>
        </w:rPr>
      </w:pPr>
      <w:bookmarkStart w:id="58" w:name="_Toc10275"/>
      <w:bookmarkStart w:id="59" w:name="_Toc16257"/>
      <w:bookmarkStart w:id="60" w:name="_Toc469495731"/>
      <w:bookmarkStart w:id="61" w:name="_Toc759"/>
      <w:r>
        <w:rPr>
          <w:rFonts w:hint="eastAsia" w:ascii="宋体" w:hAnsi="宋体" w:eastAsia="宋体" w:cs="宋体"/>
          <w:b/>
          <w:bCs/>
          <w:color w:val="auto"/>
          <w:sz w:val="32"/>
          <w:szCs w:val="32"/>
        </w:rPr>
        <w:t>第三章  评标办法</w:t>
      </w:r>
      <w:bookmarkEnd w:id="58"/>
      <w:bookmarkEnd w:id="59"/>
      <w:bookmarkEnd w:id="60"/>
      <w:bookmarkEnd w:id="61"/>
    </w:p>
    <w:p w14:paraId="10DF46C5">
      <w:pPr>
        <w:spacing w:before="162" w:beforeLines="50" w:after="162" w:afterLines="50" w:line="440" w:lineRule="exact"/>
        <w:jc w:val="center"/>
        <w:outlineLvl w:val="2"/>
        <w:rPr>
          <w:rFonts w:ascii="黑体" w:hAnsi="黑体" w:eastAsia="黑体" w:cs="黑体"/>
          <w:b/>
          <w:color w:val="auto"/>
          <w:sz w:val="28"/>
          <w:szCs w:val="28"/>
        </w:rPr>
      </w:pPr>
      <w:bookmarkStart w:id="62" w:name="_Toc469495732"/>
      <w:bookmarkStart w:id="63" w:name="_Toc19225"/>
      <w:bookmarkStart w:id="64" w:name="_Toc362983801"/>
      <w:bookmarkStart w:id="65" w:name="_Toc4193"/>
      <w:bookmarkStart w:id="66" w:name="_Toc267320058"/>
      <w:r>
        <w:rPr>
          <w:rFonts w:hint="eastAsia" w:ascii="黑体" w:hAnsi="黑体" w:eastAsia="黑体" w:cs="黑体"/>
          <w:b/>
          <w:color w:val="auto"/>
          <w:sz w:val="28"/>
          <w:szCs w:val="28"/>
        </w:rPr>
        <w:t>一  总则</w:t>
      </w:r>
      <w:bookmarkEnd w:id="62"/>
      <w:bookmarkEnd w:id="63"/>
      <w:bookmarkEnd w:id="64"/>
      <w:bookmarkEnd w:id="65"/>
    </w:p>
    <w:p w14:paraId="266FC35F">
      <w:pPr>
        <w:spacing w:line="440" w:lineRule="exact"/>
        <w:ind w:firstLine="422" w:firstLineChars="200"/>
        <w:jc w:val="left"/>
        <w:rPr>
          <w:rFonts w:ascii="黑体" w:hAnsi="黑体" w:eastAsia="黑体" w:cs="黑体"/>
          <w:b/>
          <w:color w:val="auto"/>
          <w:szCs w:val="21"/>
        </w:rPr>
      </w:pPr>
      <w:bookmarkStart w:id="67" w:name="_Toc362983802"/>
      <w:bookmarkStart w:id="68" w:name="_Toc469495733"/>
      <w:r>
        <w:rPr>
          <w:rFonts w:hint="eastAsia" w:ascii="黑体" w:hAnsi="黑体" w:eastAsia="黑体" w:cs="黑体"/>
          <w:b/>
          <w:color w:val="auto"/>
          <w:szCs w:val="21"/>
        </w:rPr>
        <w:t>1. 本次评标采用综合评分法</w:t>
      </w:r>
    </w:p>
    <w:p w14:paraId="2235D59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1.1综合评分法是指投标文件满足招标文件全部实质性要求且按照评审因素的量化指标评审总得分从高到低的供应商为中标候选人的评标方法。</w:t>
      </w:r>
    </w:p>
    <w:p w14:paraId="46E03EA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1.2综合评分法一般适用于较为复杂、评价指标难以量化且价格为非主要因素的非标准定制商品和非通用服务项目的项目评审。</w:t>
      </w:r>
    </w:p>
    <w:p w14:paraId="21CB1F7A">
      <w:pPr>
        <w:spacing w:line="44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2．评标程序</w:t>
      </w:r>
    </w:p>
    <w:p w14:paraId="706D899C">
      <w:pPr>
        <w:spacing w:line="440" w:lineRule="exact"/>
        <w:ind w:firstLine="420" w:firstLineChars="200"/>
        <w:rPr>
          <w:rFonts w:ascii="宋体" w:hAnsi="宋体" w:cs="宋体"/>
          <w:color w:val="auto"/>
          <w:szCs w:val="21"/>
        </w:rPr>
      </w:pPr>
      <w:r>
        <w:rPr>
          <w:rFonts w:hint="eastAsia" w:ascii="宋体" w:hAnsi="宋体" w:cs="宋体"/>
          <w:color w:val="auto"/>
          <w:szCs w:val="21"/>
        </w:rPr>
        <w:t>2.1投标文件的初审</w:t>
      </w:r>
    </w:p>
    <w:p w14:paraId="275C2B1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2.1.1资格性检查。依据法律法规和招标文件的规定，对投标文件中的资格证明、投标保证金等进行审查，以确定供应商是否具备投标资格。 </w:t>
      </w:r>
    </w:p>
    <w:p w14:paraId="7E6E355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2.1.2符合性检查。依据招标文件的规定，从投标文件的有效性、完整性和对招标文件的响应程度进行审查，以确定供应商是否对招标文件的实质性要求作出响应。</w:t>
      </w:r>
    </w:p>
    <w:p w14:paraId="7EE60560">
      <w:pPr>
        <w:spacing w:line="440" w:lineRule="exact"/>
        <w:ind w:firstLine="420" w:firstLineChars="200"/>
        <w:rPr>
          <w:rFonts w:ascii="宋体" w:hAnsi="宋体" w:cs="宋体"/>
          <w:color w:val="auto"/>
          <w:szCs w:val="21"/>
        </w:rPr>
      </w:pPr>
      <w:r>
        <w:rPr>
          <w:rFonts w:hint="eastAsia" w:ascii="宋体" w:hAnsi="宋体" w:cs="宋体"/>
          <w:color w:val="auto"/>
          <w:szCs w:val="21"/>
        </w:rPr>
        <w:t>2.2投标文件的澄清</w:t>
      </w:r>
    </w:p>
    <w:p w14:paraId="2FF86CB9">
      <w:pPr>
        <w:spacing w:line="440" w:lineRule="exact"/>
        <w:ind w:firstLine="420" w:firstLineChars="200"/>
        <w:jc w:val="left"/>
        <w:rPr>
          <w:rFonts w:ascii="宋体" w:hAnsi="宋体" w:cs="宋体"/>
          <w:color w:val="auto"/>
          <w:szCs w:val="21"/>
          <w:highlight w:val="yellow"/>
        </w:rPr>
      </w:pPr>
      <w:r>
        <w:rPr>
          <w:rFonts w:hint="eastAsia" w:ascii="宋体" w:hAnsi="宋体" w:cs="宋体"/>
          <w:color w:val="auto"/>
          <w:szCs w:val="21"/>
        </w:rPr>
        <w:t>2.2.1在评标过程中，评标委员会认为需要，可要求投标单位对投标文件中的有关问题进行澄清或提供补充说明及有关资料，投标单位应做出答复。答复中不得变更价格、供货期、自报质量等实质性内容。</w:t>
      </w:r>
    </w:p>
    <w:p w14:paraId="2937816F">
      <w:pPr>
        <w:spacing w:line="440" w:lineRule="exact"/>
        <w:ind w:firstLine="420" w:firstLineChars="200"/>
        <w:rPr>
          <w:rFonts w:ascii="宋体" w:hAnsi="宋体" w:cs="宋体"/>
          <w:color w:val="auto"/>
          <w:szCs w:val="21"/>
        </w:rPr>
      </w:pPr>
      <w:r>
        <w:rPr>
          <w:rFonts w:hint="eastAsia" w:ascii="宋体" w:hAnsi="宋体" w:cs="宋体"/>
          <w:color w:val="auto"/>
          <w:szCs w:val="21"/>
        </w:rPr>
        <w:t>2.2.2经供应商在系统中做出的有效答复将视为投标文件的组成部分。投标截止时间后，供应商对投标报价或其他实质性内容修正的函件和增加的任何优惠条件，一律不得作为评标、定标的依据。</w:t>
      </w:r>
    </w:p>
    <w:p w14:paraId="0B40E05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2.2.3招标人不接受投标单位主动提出的澄清。</w:t>
      </w:r>
    </w:p>
    <w:p w14:paraId="45D33E33">
      <w:pPr>
        <w:spacing w:line="440" w:lineRule="exact"/>
        <w:ind w:firstLine="420" w:firstLineChars="200"/>
        <w:rPr>
          <w:rFonts w:ascii="宋体" w:hAnsi="宋体" w:cs="宋体"/>
          <w:color w:val="auto"/>
          <w:szCs w:val="21"/>
        </w:rPr>
      </w:pPr>
      <w:r>
        <w:rPr>
          <w:rFonts w:hint="eastAsia" w:ascii="宋体" w:hAnsi="宋体" w:cs="宋体"/>
          <w:color w:val="auto"/>
          <w:szCs w:val="21"/>
        </w:rPr>
        <w:t>2.3比较与评价</w:t>
      </w:r>
    </w:p>
    <w:p w14:paraId="1714F6B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14:paraId="5598CB0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14:paraId="1964900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14:paraId="066D75F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2.5在投标文件的审查、澄清、评价和比较以及授予合同过程中，投标单位对招标单位和评标委员会成员施加影响的任何行为，都将导致取消其中标资格。</w:t>
      </w:r>
    </w:p>
    <w:p w14:paraId="623ECCB5">
      <w:pPr>
        <w:spacing w:before="162" w:beforeLines="50" w:after="162" w:afterLines="50" w:line="440" w:lineRule="exact"/>
        <w:jc w:val="center"/>
        <w:outlineLvl w:val="9"/>
        <w:rPr>
          <w:rFonts w:ascii="黑体" w:hAnsi="黑体" w:eastAsia="黑体" w:cs="黑体"/>
          <w:b/>
          <w:color w:val="auto"/>
          <w:sz w:val="28"/>
          <w:szCs w:val="28"/>
        </w:rPr>
      </w:pPr>
      <w:bookmarkStart w:id="69" w:name="_Toc23006"/>
      <w:bookmarkStart w:id="70" w:name="_Toc22076"/>
    </w:p>
    <w:p w14:paraId="24C7B950">
      <w:pPr>
        <w:spacing w:before="162" w:beforeLines="50" w:after="162" w:afterLines="50" w:line="440" w:lineRule="exact"/>
        <w:jc w:val="both"/>
        <w:outlineLvl w:val="9"/>
        <w:rPr>
          <w:rFonts w:ascii="黑体" w:hAnsi="黑体" w:eastAsia="黑体" w:cs="黑体"/>
          <w:b/>
          <w:color w:val="auto"/>
          <w:sz w:val="28"/>
          <w:szCs w:val="28"/>
        </w:rPr>
      </w:pPr>
    </w:p>
    <w:p w14:paraId="462DB6F8">
      <w:pPr>
        <w:spacing w:before="162" w:beforeLines="50" w:after="162" w:afterLines="50" w:line="440" w:lineRule="exact"/>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二  投标文件初审</w:t>
      </w:r>
      <w:bookmarkEnd w:id="67"/>
      <w:bookmarkEnd w:id="68"/>
      <w:bookmarkEnd w:id="69"/>
      <w:bookmarkEnd w:id="70"/>
    </w:p>
    <w:p w14:paraId="36DD43C1">
      <w:pPr>
        <w:spacing w:line="44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3.资格性审查:</w:t>
      </w:r>
    </w:p>
    <w:p w14:paraId="4BAFF25C">
      <w:pPr>
        <w:spacing w:line="440" w:lineRule="exact"/>
        <w:ind w:firstLine="420" w:firstLineChars="200"/>
        <w:rPr>
          <w:rFonts w:ascii="宋体" w:hAnsi="宋体" w:cs="宋体"/>
          <w:color w:val="auto"/>
          <w:szCs w:val="21"/>
        </w:rPr>
      </w:pPr>
      <w:r>
        <w:rPr>
          <w:rFonts w:hint="eastAsia" w:ascii="宋体" w:hAnsi="宋体" w:cs="宋体"/>
          <w:color w:val="auto"/>
          <w:szCs w:val="21"/>
        </w:rPr>
        <w:t>3.1评审细则</w:t>
      </w:r>
    </w:p>
    <w:tbl>
      <w:tblPr>
        <w:tblStyle w:val="22"/>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96"/>
        <w:gridCol w:w="3571"/>
        <w:gridCol w:w="4763"/>
      </w:tblGrid>
      <w:tr w14:paraId="111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0" w:type="dxa"/>
            <w:vAlign w:val="center"/>
          </w:tcPr>
          <w:p w14:paraId="2E841A34">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867" w:type="dxa"/>
            <w:gridSpan w:val="2"/>
            <w:vAlign w:val="center"/>
          </w:tcPr>
          <w:p w14:paraId="3067BAA6">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评审因素</w:t>
            </w:r>
          </w:p>
        </w:tc>
        <w:tc>
          <w:tcPr>
            <w:tcW w:w="4763" w:type="dxa"/>
            <w:vAlign w:val="center"/>
          </w:tcPr>
          <w:p w14:paraId="49181B66">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评审标准</w:t>
            </w:r>
          </w:p>
        </w:tc>
      </w:tr>
      <w:tr w14:paraId="02DE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0" w:type="dxa"/>
            <w:vAlign w:val="center"/>
          </w:tcPr>
          <w:p w14:paraId="5A6BC460">
            <w:pPr>
              <w:spacing w:line="440" w:lineRule="exact"/>
              <w:jc w:val="center"/>
              <w:rPr>
                <w:rFonts w:ascii="宋体" w:hAnsi="宋体" w:cs="宋体"/>
                <w:color w:val="auto"/>
                <w:szCs w:val="21"/>
              </w:rPr>
            </w:pPr>
            <w:r>
              <w:rPr>
                <w:rFonts w:hint="eastAsia" w:ascii="宋体" w:hAnsi="宋体" w:cs="宋体"/>
                <w:color w:val="auto"/>
                <w:szCs w:val="21"/>
              </w:rPr>
              <w:t>1</w:t>
            </w:r>
          </w:p>
        </w:tc>
        <w:tc>
          <w:tcPr>
            <w:tcW w:w="1296" w:type="dxa"/>
            <w:vAlign w:val="center"/>
          </w:tcPr>
          <w:p w14:paraId="073FD18F">
            <w:pPr>
              <w:spacing w:line="440" w:lineRule="exact"/>
              <w:jc w:val="center"/>
              <w:rPr>
                <w:rFonts w:ascii="宋体" w:hAnsi="宋体" w:cs="宋体"/>
                <w:color w:val="auto"/>
                <w:szCs w:val="21"/>
              </w:rPr>
            </w:pPr>
            <w:r>
              <w:rPr>
                <w:rFonts w:hint="eastAsia" w:ascii="宋体" w:hAnsi="宋体" w:cs="宋体"/>
                <w:color w:val="auto"/>
                <w:szCs w:val="21"/>
              </w:rPr>
              <w:t>重要要求</w:t>
            </w:r>
          </w:p>
        </w:tc>
        <w:tc>
          <w:tcPr>
            <w:tcW w:w="3571" w:type="dxa"/>
            <w:vAlign w:val="center"/>
          </w:tcPr>
          <w:p w14:paraId="62BF7D2F">
            <w:pPr>
              <w:spacing w:line="440" w:lineRule="exact"/>
              <w:jc w:val="center"/>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4763" w:type="dxa"/>
            <w:vAlign w:val="center"/>
          </w:tcPr>
          <w:p w14:paraId="6BE72D68">
            <w:pPr>
              <w:spacing w:line="440" w:lineRule="exact"/>
              <w:jc w:val="center"/>
              <w:rPr>
                <w:rFonts w:hint="eastAsia" w:ascii="宋体" w:hAnsi="宋体" w:cs="宋体"/>
                <w:b/>
                <w:bCs/>
                <w:color w:val="auto"/>
                <w:szCs w:val="21"/>
                <w:lang w:eastAsia="zh-CN"/>
              </w:rPr>
            </w:pPr>
            <w:r>
              <w:rPr>
                <w:rFonts w:hint="eastAsia" w:ascii="宋体" w:hAnsi="宋体" w:cs="宋体"/>
                <w:b/>
                <w:bCs/>
                <w:color w:val="auto"/>
                <w:szCs w:val="21"/>
              </w:rPr>
              <w:t>法定代表人身份证明和身份证原件（或授权委托人身份证原件和授权委托书</w:t>
            </w:r>
            <w:r>
              <w:rPr>
                <w:rFonts w:hint="eastAsia" w:ascii="宋体" w:hAnsi="宋体" w:cs="宋体"/>
                <w:b/>
                <w:bCs/>
                <w:color w:val="auto"/>
                <w:szCs w:val="21"/>
                <w:lang w:eastAsia="zh-CN"/>
              </w:rPr>
              <w:t>；</w:t>
            </w:r>
          </w:p>
          <w:p w14:paraId="6A029236">
            <w:pPr>
              <w:spacing w:line="440" w:lineRule="exact"/>
              <w:jc w:val="center"/>
              <w:rPr>
                <w:rFonts w:hint="default" w:ascii="宋体" w:hAnsi="宋体" w:cs="宋体"/>
                <w:b/>
                <w:bCs/>
                <w:color w:val="auto"/>
                <w:szCs w:val="21"/>
                <w:lang w:val="en-US" w:eastAsia="zh-CN"/>
              </w:rPr>
            </w:pPr>
            <w:r>
              <w:rPr>
                <w:rFonts w:hint="eastAsia" w:ascii="宋体" w:hAnsi="宋体" w:cs="宋体"/>
                <w:b/>
                <w:bCs/>
                <w:color w:val="auto"/>
                <w:szCs w:val="21"/>
                <w:lang w:val="en-US" w:eastAsia="zh-CN"/>
              </w:rPr>
              <w:t>现场核查</w:t>
            </w:r>
          </w:p>
        </w:tc>
      </w:tr>
      <w:tr w14:paraId="12F4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50" w:type="dxa"/>
            <w:vMerge w:val="restart"/>
            <w:vAlign w:val="center"/>
          </w:tcPr>
          <w:p w14:paraId="7706CED5">
            <w:pPr>
              <w:spacing w:line="440" w:lineRule="exact"/>
              <w:jc w:val="center"/>
              <w:rPr>
                <w:rFonts w:ascii="宋体" w:hAnsi="宋体" w:cs="宋体"/>
                <w:color w:val="auto"/>
                <w:szCs w:val="21"/>
              </w:rPr>
            </w:pPr>
            <w:r>
              <w:rPr>
                <w:rFonts w:hint="eastAsia" w:ascii="宋体" w:hAnsi="宋体" w:cs="宋体"/>
                <w:color w:val="auto"/>
                <w:szCs w:val="21"/>
              </w:rPr>
              <w:t>2</w:t>
            </w:r>
          </w:p>
        </w:tc>
        <w:tc>
          <w:tcPr>
            <w:tcW w:w="1296" w:type="dxa"/>
            <w:vMerge w:val="restart"/>
            <w:vAlign w:val="center"/>
          </w:tcPr>
          <w:p w14:paraId="158F2DB4">
            <w:pPr>
              <w:spacing w:line="440" w:lineRule="exact"/>
              <w:rPr>
                <w:rFonts w:ascii="宋体" w:hAnsi="宋体" w:cs="宋体"/>
                <w:color w:val="auto"/>
                <w:szCs w:val="21"/>
              </w:rPr>
            </w:pPr>
            <w:r>
              <w:rPr>
                <w:rFonts w:hint="eastAsia" w:ascii="宋体" w:hAnsi="宋体" w:cs="宋体"/>
                <w:color w:val="auto"/>
                <w:szCs w:val="21"/>
              </w:rPr>
              <w:t>供应商应符合的基本资格条件</w:t>
            </w:r>
          </w:p>
        </w:tc>
        <w:tc>
          <w:tcPr>
            <w:tcW w:w="3571" w:type="dxa"/>
            <w:vAlign w:val="center"/>
          </w:tcPr>
          <w:p w14:paraId="3DB66124">
            <w:pPr>
              <w:spacing w:line="440" w:lineRule="exact"/>
              <w:rPr>
                <w:rFonts w:hint="eastAsia" w:ascii="宋体" w:hAnsi="宋体" w:eastAsia="宋体" w:cs="宋体"/>
                <w:color w:val="auto"/>
                <w:szCs w:val="21"/>
                <w:lang w:eastAsia="zh-CN"/>
              </w:rPr>
            </w:pPr>
            <w:r>
              <w:rPr>
                <w:rFonts w:hint="eastAsia" w:ascii="宋体" w:hAnsi="宋体" w:cs="宋体"/>
                <w:color w:val="auto"/>
                <w:szCs w:val="21"/>
              </w:rPr>
              <w:t>（2）具有独立</w:t>
            </w:r>
            <w:r>
              <w:rPr>
                <w:rFonts w:hint="eastAsia" w:ascii="宋体" w:hAnsi="宋体" w:cs="宋体"/>
                <w:color w:val="auto"/>
                <w:szCs w:val="21"/>
                <w:lang w:val="en-US" w:eastAsia="zh-CN"/>
              </w:rPr>
              <w:t>法人资格</w:t>
            </w:r>
          </w:p>
        </w:tc>
        <w:tc>
          <w:tcPr>
            <w:tcW w:w="4763" w:type="dxa"/>
            <w:vAlign w:val="center"/>
          </w:tcPr>
          <w:p w14:paraId="57F8ACF7">
            <w:pPr>
              <w:spacing w:line="440" w:lineRule="exact"/>
              <w:rPr>
                <w:rFonts w:ascii="宋体" w:hAnsi="宋体" w:cs="宋体"/>
                <w:color w:val="auto"/>
                <w:szCs w:val="21"/>
              </w:rPr>
            </w:pPr>
            <w:r>
              <w:rPr>
                <w:rFonts w:hint="eastAsia" w:ascii="宋体" w:hAnsi="宋体" w:cs="宋体"/>
                <w:color w:val="auto"/>
                <w:szCs w:val="21"/>
              </w:rPr>
              <w:t xml:space="preserve"> 供应商有效的营业执照、税务登记证、组织机构代码证（或三证合一的有效证件）或</w:t>
            </w:r>
            <w:r>
              <w:rPr>
                <w:rFonts w:hint="eastAsia" w:ascii="宋体" w:hAnsi="宋体" w:cs="宋体"/>
                <w:b/>
                <w:bCs/>
                <w:color w:val="auto"/>
                <w:szCs w:val="21"/>
              </w:rPr>
              <w:t xml:space="preserve">复印件加盖公章 </w:t>
            </w:r>
          </w:p>
        </w:tc>
      </w:tr>
      <w:tr w14:paraId="5340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50" w:type="dxa"/>
            <w:vMerge w:val="continue"/>
            <w:vAlign w:val="center"/>
          </w:tcPr>
          <w:p w14:paraId="4426B9CA">
            <w:pPr>
              <w:spacing w:line="440" w:lineRule="exact"/>
              <w:jc w:val="center"/>
              <w:rPr>
                <w:rFonts w:ascii="宋体" w:hAnsi="宋体" w:cs="宋体"/>
                <w:color w:val="auto"/>
                <w:szCs w:val="21"/>
              </w:rPr>
            </w:pPr>
          </w:p>
        </w:tc>
        <w:tc>
          <w:tcPr>
            <w:tcW w:w="1296" w:type="dxa"/>
            <w:vMerge w:val="continue"/>
            <w:vAlign w:val="center"/>
          </w:tcPr>
          <w:p w14:paraId="34414A1C">
            <w:pPr>
              <w:spacing w:line="440" w:lineRule="exact"/>
              <w:rPr>
                <w:rFonts w:ascii="宋体" w:hAnsi="宋体" w:cs="宋体"/>
                <w:color w:val="auto"/>
                <w:szCs w:val="21"/>
              </w:rPr>
            </w:pPr>
          </w:p>
        </w:tc>
        <w:tc>
          <w:tcPr>
            <w:tcW w:w="3571" w:type="dxa"/>
            <w:vAlign w:val="center"/>
          </w:tcPr>
          <w:p w14:paraId="4F22E35F">
            <w:pPr>
              <w:spacing w:line="44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）诚信投标承诺书</w:t>
            </w:r>
          </w:p>
        </w:tc>
        <w:tc>
          <w:tcPr>
            <w:tcW w:w="4763" w:type="dxa"/>
            <w:vAlign w:val="center"/>
          </w:tcPr>
          <w:p w14:paraId="368F1BFD">
            <w:pPr>
              <w:spacing w:line="440" w:lineRule="exact"/>
              <w:rPr>
                <w:rFonts w:hint="eastAsia" w:ascii="宋体" w:hAnsi="宋体" w:cs="宋体"/>
                <w:color w:val="auto"/>
                <w:szCs w:val="21"/>
              </w:rPr>
            </w:pPr>
            <w:r>
              <w:rPr>
                <w:rFonts w:hint="eastAsia" w:ascii="宋体" w:hAnsi="宋体" w:cs="宋体"/>
                <w:color w:val="auto"/>
                <w:szCs w:val="21"/>
              </w:rPr>
              <w:t>核验响应文件中的下述文件：</w:t>
            </w:r>
          </w:p>
          <w:p w14:paraId="11C5A3BD">
            <w:pPr>
              <w:spacing w:line="440" w:lineRule="exact"/>
              <w:rPr>
                <w:rFonts w:ascii="宋体" w:hAnsi="宋体" w:cs="宋体"/>
                <w:color w:val="auto"/>
                <w:szCs w:val="21"/>
              </w:rPr>
            </w:pPr>
            <w:r>
              <w:rPr>
                <w:rFonts w:hint="eastAsia" w:ascii="宋体" w:hAnsi="宋体" w:cs="宋体"/>
                <w:color w:val="auto"/>
                <w:szCs w:val="21"/>
              </w:rPr>
              <w:t>诚信响应承诺书原件，格式见附件</w:t>
            </w:r>
          </w:p>
        </w:tc>
      </w:tr>
    </w:tbl>
    <w:p w14:paraId="1229CEAE">
      <w:pPr>
        <w:widowControl/>
        <w:spacing w:line="440" w:lineRule="exact"/>
        <w:ind w:firstLine="422" w:firstLineChars="200"/>
        <w:textAlignment w:val="baseline"/>
        <w:rPr>
          <w:rFonts w:ascii="宋体" w:hAnsi="宋体" w:cs="宋体"/>
          <w:b/>
          <w:bCs/>
          <w:color w:val="auto"/>
          <w:kern w:val="0"/>
          <w:szCs w:val="21"/>
          <w:u w:color="000000"/>
        </w:rPr>
      </w:pPr>
      <w:r>
        <w:rPr>
          <w:rFonts w:hint="eastAsia" w:ascii="宋体" w:hAnsi="宋体" w:cs="宋体"/>
          <w:b/>
          <w:bCs/>
          <w:color w:val="auto"/>
          <w:kern w:val="0"/>
          <w:szCs w:val="21"/>
          <w:u w:color="000000"/>
        </w:rPr>
        <w:t>以上要求提供的证件复印件或通过公证的公证件复印件按顺序装订成册加盖公章</w:t>
      </w:r>
      <w:r>
        <w:rPr>
          <w:rFonts w:hint="eastAsia" w:ascii="宋体" w:hAnsi="宋体" w:cs="宋体"/>
          <w:b/>
          <w:bCs/>
          <w:color w:val="auto"/>
          <w:kern w:val="0"/>
          <w:szCs w:val="21"/>
          <w:u w:color="000000"/>
          <w:lang w:eastAsia="zh-CN"/>
        </w:rPr>
        <w:t>。</w:t>
      </w:r>
      <w:r>
        <w:rPr>
          <w:rFonts w:hint="eastAsia" w:ascii="宋体" w:hAnsi="宋体" w:cs="宋体"/>
          <w:b/>
          <w:bCs/>
          <w:color w:val="auto"/>
          <w:kern w:val="0"/>
          <w:szCs w:val="21"/>
          <w:u w:color="000000"/>
        </w:rPr>
        <w:t>供应商所提交的资信证明文件必须完整，否则将导致无效标。</w:t>
      </w:r>
    </w:p>
    <w:p w14:paraId="4F19AC50">
      <w:pPr>
        <w:spacing w:line="440" w:lineRule="exact"/>
        <w:ind w:firstLine="422" w:firstLineChars="200"/>
        <w:rPr>
          <w:rFonts w:ascii="黑体" w:hAnsi="黑体" w:eastAsia="黑体" w:cs="黑体"/>
          <w:b/>
          <w:color w:val="auto"/>
          <w:szCs w:val="21"/>
        </w:rPr>
      </w:pPr>
      <w:r>
        <w:rPr>
          <w:rFonts w:hint="eastAsia" w:ascii="黑体" w:hAnsi="黑体" w:eastAsia="黑体" w:cs="黑体"/>
          <w:b/>
          <w:color w:val="auto"/>
          <w:szCs w:val="21"/>
        </w:rPr>
        <w:t>4.符合性审查</w:t>
      </w:r>
    </w:p>
    <w:p w14:paraId="32E8275A">
      <w:pPr>
        <w:spacing w:line="440" w:lineRule="exact"/>
        <w:ind w:firstLine="420" w:firstLineChars="200"/>
        <w:rPr>
          <w:rFonts w:ascii="宋体" w:hAnsi="宋体" w:cs="宋体"/>
          <w:bCs/>
          <w:color w:val="auto"/>
          <w:szCs w:val="21"/>
        </w:rPr>
      </w:pPr>
      <w:r>
        <w:rPr>
          <w:rFonts w:hint="eastAsia" w:ascii="宋体" w:hAnsi="宋体" w:cs="宋体"/>
          <w:bCs/>
          <w:color w:val="auto"/>
          <w:szCs w:val="21"/>
        </w:rPr>
        <w:t>4．1评审细则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1DC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0B96F65B">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135" w:type="dxa"/>
            <w:gridSpan w:val="2"/>
            <w:vAlign w:val="center"/>
          </w:tcPr>
          <w:p w14:paraId="51A173D9">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审查因素</w:t>
            </w:r>
          </w:p>
        </w:tc>
        <w:tc>
          <w:tcPr>
            <w:tcW w:w="5024" w:type="dxa"/>
            <w:vAlign w:val="center"/>
          </w:tcPr>
          <w:p w14:paraId="26C4E8FD">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审查内容</w:t>
            </w:r>
          </w:p>
        </w:tc>
      </w:tr>
      <w:tr w14:paraId="6063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6E672B7B">
            <w:pPr>
              <w:spacing w:line="440" w:lineRule="exact"/>
              <w:jc w:val="center"/>
              <w:rPr>
                <w:rFonts w:ascii="宋体" w:hAnsi="宋体" w:cs="宋体"/>
                <w:color w:val="auto"/>
                <w:szCs w:val="21"/>
              </w:rPr>
            </w:pPr>
            <w:r>
              <w:rPr>
                <w:rFonts w:hint="eastAsia" w:ascii="宋体" w:hAnsi="宋体" w:cs="宋体"/>
                <w:color w:val="auto"/>
                <w:szCs w:val="21"/>
              </w:rPr>
              <w:t>1</w:t>
            </w:r>
          </w:p>
        </w:tc>
        <w:tc>
          <w:tcPr>
            <w:tcW w:w="1204" w:type="dxa"/>
            <w:vMerge w:val="restart"/>
            <w:vAlign w:val="center"/>
          </w:tcPr>
          <w:p w14:paraId="6BE1C01F">
            <w:pPr>
              <w:spacing w:line="440" w:lineRule="exact"/>
              <w:rPr>
                <w:rFonts w:ascii="宋体" w:hAnsi="宋体" w:cs="宋体"/>
                <w:color w:val="auto"/>
                <w:szCs w:val="21"/>
                <w:lang w:val="zh-CN"/>
              </w:rPr>
            </w:pPr>
            <w:r>
              <w:rPr>
                <w:rFonts w:hint="eastAsia" w:ascii="宋体" w:hAnsi="宋体" w:cs="宋体"/>
                <w:color w:val="auto"/>
                <w:szCs w:val="21"/>
                <w:lang w:val="zh-CN"/>
              </w:rPr>
              <w:t>标书的有效 性</w:t>
            </w:r>
          </w:p>
        </w:tc>
        <w:tc>
          <w:tcPr>
            <w:tcW w:w="2931" w:type="dxa"/>
            <w:vAlign w:val="center"/>
          </w:tcPr>
          <w:p w14:paraId="6F4D0AEC">
            <w:pPr>
              <w:spacing w:line="440" w:lineRule="exact"/>
              <w:rPr>
                <w:rFonts w:ascii="宋体" w:hAnsi="宋体" w:cs="宋体"/>
                <w:color w:val="auto"/>
                <w:szCs w:val="21"/>
                <w:lang w:val="zh-CN"/>
              </w:rPr>
            </w:pPr>
            <w:r>
              <w:rPr>
                <w:rFonts w:hint="eastAsia" w:ascii="宋体" w:hAnsi="宋体" w:cs="宋体"/>
                <w:color w:val="auto"/>
                <w:szCs w:val="21"/>
                <w:lang w:val="zh-CN"/>
              </w:rPr>
              <w:t>（1）投标文件签署</w:t>
            </w:r>
          </w:p>
        </w:tc>
        <w:tc>
          <w:tcPr>
            <w:tcW w:w="5024" w:type="dxa"/>
            <w:vAlign w:val="center"/>
          </w:tcPr>
          <w:p w14:paraId="24E99F48">
            <w:pPr>
              <w:spacing w:line="440" w:lineRule="exact"/>
              <w:rPr>
                <w:rFonts w:ascii="宋体" w:hAnsi="宋体" w:cs="宋体"/>
                <w:color w:val="auto"/>
                <w:szCs w:val="21"/>
                <w:lang w:val="zh-CN"/>
              </w:rPr>
            </w:pPr>
            <w:r>
              <w:rPr>
                <w:rFonts w:hint="eastAsia" w:ascii="宋体" w:hAnsi="宋体" w:cs="宋体"/>
                <w:color w:val="auto"/>
                <w:szCs w:val="21"/>
                <w:lang w:val="zh-CN"/>
              </w:rPr>
              <w:t>签字、盖章符合要求。</w:t>
            </w:r>
          </w:p>
        </w:tc>
      </w:tr>
      <w:tr w14:paraId="3120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2331AE68">
            <w:pPr>
              <w:spacing w:line="440" w:lineRule="exact"/>
              <w:rPr>
                <w:rFonts w:ascii="宋体" w:hAnsi="宋体" w:cs="宋体"/>
                <w:color w:val="auto"/>
                <w:szCs w:val="21"/>
              </w:rPr>
            </w:pPr>
          </w:p>
        </w:tc>
        <w:tc>
          <w:tcPr>
            <w:tcW w:w="1204" w:type="dxa"/>
            <w:vMerge w:val="continue"/>
            <w:vAlign w:val="center"/>
          </w:tcPr>
          <w:p w14:paraId="609F8387">
            <w:pPr>
              <w:spacing w:line="440" w:lineRule="exact"/>
              <w:rPr>
                <w:rFonts w:ascii="宋体" w:hAnsi="宋体" w:cs="宋体"/>
                <w:color w:val="auto"/>
                <w:szCs w:val="21"/>
              </w:rPr>
            </w:pPr>
          </w:p>
        </w:tc>
        <w:tc>
          <w:tcPr>
            <w:tcW w:w="2931" w:type="dxa"/>
            <w:vAlign w:val="center"/>
          </w:tcPr>
          <w:p w14:paraId="002A492C">
            <w:pPr>
              <w:spacing w:line="440" w:lineRule="exact"/>
              <w:rPr>
                <w:rFonts w:ascii="宋体" w:hAnsi="宋体" w:cs="宋体"/>
                <w:color w:val="auto"/>
                <w:szCs w:val="21"/>
                <w:lang w:val="zh-CN"/>
              </w:rPr>
            </w:pPr>
            <w:r>
              <w:rPr>
                <w:rFonts w:hint="eastAsia" w:ascii="宋体" w:hAnsi="宋体" w:cs="宋体"/>
                <w:color w:val="auto"/>
                <w:szCs w:val="21"/>
                <w:lang w:val="zh-CN"/>
              </w:rPr>
              <w:t>（2）投标方案</w:t>
            </w:r>
          </w:p>
        </w:tc>
        <w:tc>
          <w:tcPr>
            <w:tcW w:w="5024" w:type="dxa"/>
            <w:vAlign w:val="center"/>
          </w:tcPr>
          <w:p w14:paraId="2DC984CE">
            <w:pPr>
              <w:spacing w:line="440" w:lineRule="exact"/>
              <w:rPr>
                <w:rFonts w:ascii="宋体" w:hAnsi="宋体" w:cs="宋体"/>
                <w:color w:val="auto"/>
                <w:szCs w:val="21"/>
              </w:rPr>
            </w:pPr>
            <w:r>
              <w:rPr>
                <w:rFonts w:hint="eastAsia" w:ascii="宋体" w:hAnsi="宋体" w:cs="宋体"/>
                <w:color w:val="auto"/>
                <w:szCs w:val="21"/>
                <w:lang w:val="zh-CN"/>
              </w:rPr>
              <w:t>每个分包只能有一个方案投标。</w:t>
            </w:r>
          </w:p>
        </w:tc>
      </w:tr>
      <w:tr w14:paraId="2227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427F535F">
            <w:pPr>
              <w:spacing w:line="440" w:lineRule="exact"/>
              <w:rPr>
                <w:rFonts w:ascii="宋体" w:hAnsi="宋体" w:cs="宋体"/>
                <w:color w:val="auto"/>
                <w:szCs w:val="21"/>
              </w:rPr>
            </w:pPr>
          </w:p>
        </w:tc>
        <w:tc>
          <w:tcPr>
            <w:tcW w:w="1204" w:type="dxa"/>
            <w:vMerge w:val="continue"/>
            <w:vAlign w:val="center"/>
          </w:tcPr>
          <w:p w14:paraId="79800ADB">
            <w:pPr>
              <w:spacing w:line="440" w:lineRule="exact"/>
              <w:rPr>
                <w:rFonts w:ascii="宋体" w:hAnsi="宋体" w:cs="宋体"/>
                <w:color w:val="auto"/>
                <w:szCs w:val="21"/>
              </w:rPr>
            </w:pPr>
          </w:p>
        </w:tc>
        <w:tc>
          <w:tcPr>
            <w:tcW w:w="2931" w:type="dxa"/>
            <w:vAlign w:val="center"/>
          </w:tcPr>
          <w:p w14:paraId="2A7EBA3B">
            <w:pPr>
              <w:spacing w:line="440" w:lineRule="exact"/>
              <w:rPr>
                <w:rFonts w:ascii="宋体" w:hAnsi="宋体" w:cs="宋体"/>
                <w:color w:val="auto"/>
                <w:szCs w:val="21"/>
                <w:lang w:val="zh-CN"/>
              </w:rPr>
            </w:pPr>
            <w:r>
              <w:rPr>
                <w:rFonts w:hint="eastAsia" w:ascii="宋体" w:hAnsi="宋体" w:cs="宋体"/>
                <w:color w:val="auto"/>
                <w:szCs w:val="21"/>
              </w:rPr>
              <w:t>（3）报价唯一</w:t>
            </w:r>
          </w:p>
        </w:tc>
        <w:tc>
          <w:tcPr>
            <w:tcW w:w="5024" w:type="dxa"/>
            <w:vAlign w:val="center"/>
          </w:tcPr>
          <w:p w14:paraId="5FBB6894">
            <w:pPr>
              <w:spacing w:line="440" w:lineRule="exact"/>
              <w:rPr>
                <w:rFonts w:ascii="宋体" w:hAnsi="宋体" w:cs="宋体"/>
                <w:color w:val="auto"/>
                <w:szCs w:val="21"/>
              </w:rPr>
            </w:pPr>
            <w:r>
              <w:rPr>
                <w:rFonts w:hint="eastAsia" w:ascii="宋体" w:hAnsi="宋体" w:cs="宋体"/>
                <w:color w:val="auto"/>
                <w:szCs w:val="21"/>
                <w:lang w:val="zh-CN"/>
              </w:rPr>
              <w:t>只能在限价范围内报价，</w:t>
            </w:r>
            <w:r>
              <w:rPr>
                <w:rFonts w:hint="eastAsia" w:ascii="宋体" w:hAnsi="宋体" w:cs="宋体"/>
                <w:color w:val="auto"/>
                <w:szCs w:val="21"/>
              </w:rPr>
              <w:t>只能有一个有效报价，不得提交选择性报价。</w:t>
            </w:r>
          </w:p>
        </w:tc>
      </w:tr>
      <w:tr w14:paraId="0926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1D7D4F35">
            <w:pPr>
              <w:spacing w:line="440" w:lineRule="exact"/>
              <w:rPr>
                <w:rFonts w:ascii="宋体" w:hAnsi="宋体" w:cs="宋体"/>
                <w:color w:val="auto"/>
                <w:szCs w:val="21"/>
              </w:rPr>
            </w:pPr>
          </w:p>
        </w:tc>
        <w:tc>
          <w:tcPr>
            <w:tcW w:w="1204" w:type="dxa"/>
            <w:vMerge w:val="continue"/>
            <w:vAlign w:val="center"/>
          </w:tcPr>
          <w:p w14:paraId="48E98DAE">
            <w:pPr>
              <w:spacing w:line="440" w:lineRule="exact"/>
              <w:rPr>
                <w:rFonts w:ascii="宋体" w:hAnsi="宋体" w:cs="宋体"/>
                <w:color w:val="auto"/>
                <w:szCs w:val="21"/>
              </w:rPr>
            </w:pPr>
          </w:p>
        </w:tc>
        <w:tc>
          <w:tcPr>
            <w:tcW w:w="2931" w:type="dxa"/>
            <w:vAlign w:val="center"/>
          </w:tcPr>
          <w:p w14:paraId="767931F1">
            <w:pPr>
              <w:spacing w:line="440" w:lineRule="exact"/>
              <w:rPr>
                <w:rFonts w:ascii="宋体" w:hAnsi="宋体" w:cs="宋体"/>
                <w:color w:val="auto"/>
                <w:szCs w:val="21"/>
              </w:rPr>
            </w:pPr>
            <w:r>
              <w:rPr>
                <w:rFonts w:hint="eastAsia" w:ascii="宋体" w:hAnsi="宋体" w:cs="宋体"/>
                <w:color w:val="auto"/>
                <w:szCs w:val="21"/>
              </w:rPr>
              <w:t>（4）投标文件的有效期</w:t>
            </w:r>
          </w:p>
        </w:tc>
        <w:tc>
          <w:tcPr>
            <w:tcW w:w="5024" w:type="dxa"/>
            <w:vAlign w:val="center"/>
          </w:tcPr>
          <w:p w14:paraId="3384D0EC">
            <w:pPr>
              <w:spacing w:line="440" w:lineRule="exact"/>
              <w:rPr>
                <w:rFonts w:ascii="宋体" w:hAnsi="宋体" w:cs="宋体"/>
                <w:color w:val="auto"/>
                <w:szCs w:val="21"/>
                <w:lang w:val="zh-CN"/>
              </w:rPr>
            </w:pPr>
            <w:r>
              <w:rPr>
                <w:rFonts w:hint="eastAsia" w:ascii="宋体" w:hAnsi="宋体" w:cs="宋体"/>
                <w:color w:val="auto"/>
                <w:szCs w:val="21"/>
                <w:lang w:val="zh-CN"/>
              </w:rPr>
              <w:t>完全响应。</w:t>
            </w:r>
          </w:p>
        </w:tc>
      </w:tr>
      <w:tr w14:paraId="16BE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392DF895">
            <w:pPr>
              <w:spacing w:line="440" w:lineRule="exact"/>
              <w:jc w:val="center"/>
              <w:rPr>
                <w:rFonts w:ascii="宋体" w:hAnsi="宋体" w:cs="宋体"/>
                <w:color w:val="auto"/>
                <w:szCs w:val="21"/>
              </w:rPr>
            </w:pPr>
            <w:r>
              <w:rPr>
                <w:rFonts w:hint="eastAsia" w:ascii="宋体" w:hAnsi="宋体" w:cs="宋体"/>
                <w:color w:val="auto"/>
                <w:szCs w:val="21"/>
              </w:rPr>
              <w:t>2</w:t>
            </w:r>
          </w:p>
        </w:tc>
        <w:tc>
          <w:tcPr>
            <w:tcW w:w="1204" w:type="dxa"/>
            <w:vMerge w:val="restart"/>
            <w:vAlign w:val="center"/>
          </w:tcPr>
          <w:p w14:paraId="68CC1CA7">
            <w:pPr>
              <w:spacing w:line="440" w:lineRule="exact"/>
              <w:rPr>
                <w:rFonts w:ascii="宋体" w:hAnsi="宋体" w:cs="宋体"/>
                <w:color w:val="auto"/>
                <w:szCs w:val="21"/>
                <w:lang w:val="zh-CN"/>
              </w:rPr>
            </w:pPr>
            <w:r>
              <w:rPr>
                <w:rFonts w:hint="eastAsia" w:ascii="宋体" w:hAnsi="宋体" w:cs="宋体"/>
                <w:color w:val="auto"/>
                <w:szCs w:val="21"/>
                <w:lang w:val="zh-CN"/>
              </w:rPr>
              <w:t>标书的完整 性</w:t>
            </w:r>
          </w:p>
        </w:tc>
        <w:tc>
          <w:tcPr>
            <w:tcW w:w="2931" w:type="dxa"/>
            <w:vAlign w:val="center"/>
          </w:tcPr>
          <w:p w14:paraId="65DA9992">
            <w:pPr>
              <w:spacing w:line="440" w:lineRule="exact"/>
              <w:rPr>
                <w:rFonts w:ascii="宋体" w:hAnsi="宋体" w:cs="宋体"/>
                <w:color w:val="auto"/>
                <w:szCs w:val="21"/>
              </w:rPr>
            </w:pPr>
            <w:r>
              <w:rPr>
                <w:rFonts w:hint="eastAsia" w:ascii="宋体" w:hAnsi="宋体" w:cs="宋体"/>
                <w:color w:val="auto"/>
                <w:szCs w:val="21"/>
                <w:lang w:val="zh-CN"/>
              </w:rPr>
              <w:t>（5）投标文件份数</w:t>
            </w:r>
          </w:p>
        </w:tc>
        <w:tc>
          <w:tcPr>
            <w:tcW w:w="5024" w:type="dxa"/>
            <w:vAlign w:val="center"/>
          </w:tcPr>
          <w:p w14:paraId="7E7B3468">
            <w:pPr>
              <w:spacing w:line="440" w:lineRule="exact"/>
              <w:rPr>
                <w:rFonts w:ascii="宋体" w:hAnsi="宋体" w:cs="宋体"/>
                <w:color w:val="auto"/>
                <w:szCs w:val="21"/>
              </w:rPr>
            </w:pPr>
            <w:r>
              <w:rPr>
                <w:rFonts w:hint="eastAsia" w:ascii="宋体" w:hAnsi="宋体" w:cs="宋体"/>
                <w:color w:val="auto"/>
                <w:szCs w:val="21"/>
              </w:rPr>
              <w:t>纸质版投标文件：一份；</w:t>
            </w:r>
          </w:p>
        </w:tc>
      </w:tr>
      <w:tr w14:paraId="1EF3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588A55E">
            <w:pPr>
              <w:spacing w:line="440" w:lineRule="exact"/>
              <w:rPr>
                <w:rFonts w:ascii="宋体" w:hAnsi="宋体" w:cs="宋体"/>
                <w:color w:val="auto"/>
                <w:szCs w:val="21"/>
              </w:rPr>
            </w:pPr>
          </w:p>
        </w:tc>
        <w:tc>
          <w:tcPr>
            <w:tcW w:w="1204" w:type="dxa"/>
            <w:vMerge w:val="continue"/>
            <w:vAlign w:val="center"/>
          </w:tcPr>
          <w:p w14:paraId="402A40E0">
            <w:pPr>
              <w:spacing w:line="440" w:lineRule="exact"/>
              <w:rPr>
                <w:rFonts w:ascii="宋体" w:hAnsi="宋体" w:cs="宋体"/>
                <w:color w:val="auto"/>
                <w:szCs w:val="21"/>
              </w:rPr>
            </w:pPr>
          </w:p>
        </w:tc>
        <w:tc>
          <w:tcPr>
            <w:tcW w:w="2931" w:type="dxa"/>
            <w:vAlign w:val="center"/>
          </w:tcPr>
          <w:p w14:paraId="1992599B">
            <w:pPr>
              <w:spacing w:line="440" w:lineRule="exact"/>
              <w:rPr>
                <w:rFonts w:ascii="宋体" w:hAnsi="宋体" w:cs="宋体"/>
                <w:color w:val="auto"/>
                <w:szCs w:val="21"/>
                <w:lang w:val="zh-CN"/>
              </w:rPr>
            </w:pPr>
            <w:r>
              <w:rPr>
                <w:rFonts w:hint="eastAsia" w:ascii="宋体" w:hAnsi="宋体" w:cs="宋体"/>
                <w:color w:val="auto"/>
                <w:szCs w:val="21"/>
                <w:lang w:val="zh-CN"/>
              </w:rPr>
              <w:t>（6）投标文件形式内容</w:t>
            </w:r>
          </w:p>
        </w:tc>
        <w:tc>
          <w:tcPr>
            <w:tcW w:w="5024" w:type="dxa"/>
            <w:vAlign w:val="center"/>
          </w:tcPr>
          <w:p w14:paraId="3C422E50">
            <w:pPr>
              <w:spacing w:line="440" w:lineRule="exact"/>
              <w:rPr>
                <w:rFonts w:ascii="宋体" w:hAnsi="宋体" w:cs="宋体"/>
                <w:color w:val="auto"/>
                <w:szCs w:val="21"/>
                <w:lang w:val="zh-CN"/>
              </w:rPr>
            </w:pPr>
            <w:r>
              <w:rPr>
                <w:rFonts w:hint="eastAsia" w:ascii="宋体" w:hAnsi="宋体" w:cs="宋体"/>
                <w:color w:val="auto"/>
                <w:szCs w:val="21"/>
                <w:lang w:val="zh-CN"/>
              </w:rPr>
              <w:t>投标文件内容清晰、齐全无遗漏</w:t>
            </w:r>
          </w:p>
        </w:tc>
      </w:tr>
      <w:tr w14:paraId="175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3B24C1A9">
            <w:pPr>
              <w:spacing w:line="440" w:lineRule="exact"/>
              <w:jc w:val="center"/>
              <w:rPr>
                <w:rFonts w:ascii="宋体" w:hAnsi="宋体" w:cs="宋体"/>
                <w:color w:val="auto"/>
                <w:szCs w:val="21"/>
              </w:rPr>
            </w:pPr>
            <w:r>
              <w:rPr>
                <w:rFonts w:hint="eastAsia" w:ascii="宋体" w:hAnsi="宋体" w:cs="宋体"/>
                <w:color w:val="auto"/>
                <w:szCs w:val="21"/>
              </w:rPr>
              <w:t>3</w:t>
            </w:r>
          </w:p>
        </w:tc>
        <w:tc>
          <w:tcPr>
            <w:tcW w:w="1204" w:type="dxa"/>
            <w:vMerge w:val="restart"/>
            <w:vAlign w:val="center"/>
          </w:tcPr>
          <w:p w14:paraId="355A75C8">
            <w:pPr>
              <w:spacing w:line="440" w:lineRule="exact"/>
              <w:rPr>
                <w:rFonts w:ascii="宋体" w:hAnsi="宋体" w:cs="宋体"/>
                <w:color w:val="auto"/>
                <w:szCs w:val="21"/>
                <w:lang w:val="zh-CN"/>
              </w:rPr>
            </w:pPr>
            <w:r>
              <w:rPr>
                <w:rFonts w:hint="eastAsia" w:ascii="宋体" w:hAnsi="宋体" w:cs="宋体"/>
                <w:color w:val="auto"/>
                <w:szCs w:val="21"/>
                <w:lang w:val="zh-CN"/>
              </w:rPr>
              <w:t>标书的响应程度</w:t>
            </w:r>
          </w:p>
        </w:tc>
        <w:tc>
          <w:tcPr>
            <w:tcW w:w="2931" w:type="dxa"/>
            <w:vAlign w:val="center"/>
          </w:tcPr>
          <w:p w14:paraId="2501D423">
            <w:pPr>
              <w:spacing w:line="440" w:lineRule="exact"/>
              <w:rPr>
                <w:rFonts w:ascii="宋体" w:hAnsi="宋体" w:cs="宋体"/>
                <w:color w:val="auto"/>
                <w:szCs w:val="21"/>
                <w:lang w:val="zh-CN"/>
              </w:rPr>
            </w:pPr>
            <w:r>
              <w:rPr>
                <w:rFonts w:hint="eastAsia" w:ascii="宋体" w:hAnsi="宋体" w:cs="宋体"/>
                <w:color w:val="auto"/>
                <w:szCs w:val="21"/>
                <w:lang w:val="zh-CN"/>
              </w:rPr>
              <w:t>（7）技术服务响应程度</w:t>
            </w:r>
          </w:p>
        </w:tc>
        <w:tc>
          <w:tcPr>
            <w:tcW w:w="5024" w:type="dxa"/>
            <w:vAlign w:val="center"/>
          </w:tcPr>
          <w:p w14:paraId="6E3139F7">
            <w:pPr>
              <w:spacing w:line="440" w:lineRule="exact"/>
              <w:rPr>
                <w:rFonts w:ascii="宋体" w:hAnsi="宋体" w:cs="宋体"/>
                <w:color w:val="auto"/>
                <w:szCs w:val="21"/>
                <w:lang w:val="zh-CN"/>
              </w:rPr>
            </w:pPr>
            <w:r>
              <w:rPr>
                <w:rFonts w:hint="eastAsia" w:ascii="宋体" w:hAnsi="宋体" w:cs="宋体"/>
                <w:color w:val="auto"/>
                <w:szCs w:val="21"/>
                <w:lang w:val="zh-CN"/>
              </w:rPr>
              <w:t>执行招标文件要求</w:t>
            </w:r>
          </w:p>
        </w:tc>
      </w:tr>
      <w:tr w14:paraId="5241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70C9B9D0">
            <w:pPr>
              <w:spacing w:line="440" w:lineRule="exact"/>
              <w:rPr>
                <w:rFonts w:ascii="宋体" w:hAnsi="宋体" w:cs="宋体"/>
                <w:color w:val="auto"/>
                <w:szCs w:val="21"/>
              </w:rPr>
            </w:pPr>
          </w:p>
        </w:tc>
        <w:tc>
          <w:tcPr>
            <w:tcW w:w="1204" w:type="dxa"/>
            <w:vMerge w:val="continue"/>
            <w:vAlign w:val="center"/>
          </w:tcPr>
          <w:p w14:paraId="3A53A2A6">
            <w:pPr>
              <w:spacing w:line="440" w:lineRule="exact"/>
              <w:rPr>
                <w:rFonts w:ascii="宋体" w:hAnsi="宋体" w:cs="宋体"/>
                <w:color w:val="auto"/>
                <w:szCs w:val="21"/>
              </w:rPr>
            </w:pPr>
          </w:p>
        </w:tc>
        <w:tc>
          <w:tcPr>
            <w:tcW w:w="2931" w:type="dxa"/>
            <w:vAlign w:val="center"/>
          </w:tcPr>
          <w:p w14:paraId="3E28C397">
            <w:pPr>
              <w:spacing w:line="440" w:lineRule="exact"/>
              <w:rPr>
                <w:rFonts w:ascii="宋体" w:hAnsi="宋体" w:cs="宋体"/>
                <w:color w:val="auto"/>
                <w:szCs w:val="21"/>
                <w:lang w:val="zh-CN"/>
              </w:rPr>
            </w:pPr>
            <w:r>
              <w:rPr>
                <w:rFonts w:hint="eastAsia" w:ascii="宋体" w:hAnsi="宋体" w:cs="宋体"/>
                <w:color w:val="auto"/>
                <w:szCs w:val="21"/>
                <w:lang w:val="zh-CN"/>
              </w:rPr>
              <w:t>（8）商务条款响应程度（包括供货期、售后服务、技术培训等）</w:t>
            </w:r>
          </w:p>
        </w:tc>
        <w:tc>
          <w:tcPr>
            <w:tcW w:w="5024" w:type="dxa"/>
            <w:vAlign w:val="center"/>
          </w:tcPr>
          <w:p w14:paraId="2DB311B8">
            <w:pPr>
              <w:spacing w:line="440" w:lineRule="exact"/>
              <w:rPr>
                <w:rFonts w:ascii="宋体" w:hAnsi="宋体" w:cs="宋体"/>
                <w:color w:val="auto"/>
                <w:szCs w:val="21"/>
                <w:lang w:val="zh-CN"/>
              </w:rPr>
            </w:pPr>
            <w:r>
              <w:rPr>
                <w:rFonts w:hint="eastAsia" w:ascii="宋体" w:hAnsi="宋体" w:cs="宋体"/>
                <w:color w:val="auto"/>
                <w:szCs w:val="21"/>
                <w:lang w:val="zh-CN"/>
              </w:rPr>
              <w:t>完全响应或优于招标文件要求</w:t>
            </w:r>
          </w:p>
        </w:tc>
      </w:tr>
    </w:tbl>
    <w:p w14:paraId="6064618D">
      <w:pPr>
        <w:spacing w:line="440" w:lineRule="exact"/>
        <w:jc w:val="left"/>
        <w:rPr>
          <w:rFonts w:ascii="宋体" w:hAnsi="宋体" w:cs="宋体"/>
          <w:color w:val="auto"/>
          <w:szCs w:val="21"/>
        </w:rPr>
      </w:pPr>
      <w:r>
        <w:rPr>
          <w:rFonts w:hint="eastAsia" w:ascii="宋体" w:hAnsi="宋体" w:cs="宋体"/>
          <w:color w:val="auto"/>
          <w:szCs w:val="21"/>
        </w:rPr>
        <w:t>4.2评委会判定投标文件的响应性只根据投标文件本身的内容，而不寻求外部的证据，但投标有不真实不正确的内容时除外。</w:t>
      </w:r>
    </w:p>
    <w:p w14:paraId="27F54FB9">
      <w:pPr>
        <w:spacing w:line="440" w:lineRule="exact"/>
        <w:jc w:val="left"/>
        <w:rPr>
          <w:rFonts w:ascii="宋体" w:hAnsi="宋体" w:cs="宋体"/>
          <w:color w:val="auto"/>
          <w:szCs w:val="21"/>
        </w:rPr>
      </w:pPr>
      <w:r>
        <w:rPr>
          <w:rFonts w:hint="eastAsia" w:ascii="宋体" w:hAnsi="宋体" w:cs="宋体"/>
          <w:color w:val="auto"/>
          <w:szCs w:val="21"/>
        </w:rPr>
        <w:t>4.3如果投标文件实质上没有响应招标文件的要求，评委会将予以拒绝，供应商不得通过修正或撤销不符合要求的偏离或保留，而使其投标成为实质上响应的投标。</w:t>
      </w:r>
    </w:p>
    <w:p w14:paraId="4B4DC253">
      <w:pPr>
        <w:spacing w:line="440" w:lineRule="exact"/>
        <w:jc w:val="left"/>
        <w:rPr>
          <w:rFonts w:ascii="宋体" w:hAnsi="宋体" w:cs="宋体"/>
          <w:color w:val="auto"/>
          <w:szCs w:val="21"/>
        </w:rPr>
      </w:pPr>
      <w:r>
        <w:rPr>
          <w:rFonts w:hint="eastAsia" w:ascii="宋体" w:hAnsi="宋体" w:cs="宋体"/>
          <w:color w:val="auto"/>
          <w:szCs w:val="21"/>
        </w:rPr>
        <w:t>4.4供应商可在现场20分钟内对评标委员会的评审结论提出异议，评标委员会根据招标文件及有关规定对供应商的异议进行复议。</w:t>
      </w:r>
    </w:p>
    <w:p w14:paraId="5359A98C">
      <w:pPr>
        <w:spacing w:line="440" w:lineRule="exact"/>
        <w:jc w:val="left"/>
        <w:rPr>
          <w:rFonts w:ascii="宋体" w:hAnsi="宋体" w:cs="宋体"/>
          <w:color w:val="auto"/>
          <w:szCs w:val="21"/>
        </w:rPr>
      </w:pPr>
      <w:r>
        <w:rPr>
          <w:rFonts w:hint="eastAsia" w:ascii="宋体" w:hAnsi="宋体" w:cs="宋体"/>
          <w:color w:val="auto"/>
          <w:szCs w:val="21"/>
        </w:rPr>
        <w:t>4.5只有通过初审的供应商才能进入下一步评标程序。</w:t>
      </w:r>
    </w:p>
    <w:p w14:paraId="5292A728">
      <w:pPr>
        <w:spacing w:before="162" w:beforeLines="50" w:after="162" w:afterLines="50" w:line="440" w:lineRule="exact"/>
        <w:jc w:val="center"/>
        <w:outlineLvl w:val="2"/>
        <w:rPr>
          <w:rFonts w:ascii="黑体" w:hAnsi="黑体" w:eastAsia="黑体" w:cs="黑体"/>
          <w:b/>
          <w:color w:val="auto"/>
          <w:sz w:val="28"/>
          <w:szCs w:val="28"/>
        </w:rPr>
      </w:pPr>
      <w:bookmarkStart w:id="71" w:name="_Toc20667"/>
      <w:bookmarkStart w:id="72" w:name="_Toc8811"/>
      <w:bookmarkStart w:id="73" w:name="_Toc362983803"/>
      <w:bookmarkStart w:id="74" w:name="_Toc469495734"/>
      <w:r>
        <w:rPr>
          <w:rFonts w:hint="eastAsia" w:ascii="黑体" w:hAnsi="黑体" w:eastAsia="黑体" w:cs="黑体"/>
          <w:b/>
          <w:color w:val="auto"/>
          <w:sz w:val="28"/>
          <w:szCs w:val="28"/>
        </w:rPr>
        <w:t>三  投标文件的澄清和补正</w:t>
      </w:r>
      <w:bookmarkEnd w:id="71"/>
      <w:bookmarkEnd w:id="72"/>
      <w:bookmarkEnd w:id="73"/>
      <w:bookmarkEnd w:id="74"/>
    </w:p>
    <w:p w14:paraId="65BE0132">
      <w:pPr>
        <w:spacing w:line="440" w:lineRule="exact"/>
        <w:jc w:val="left"/>
        <w:rPr>
          <w:rFonts w:ascii="宋体" w:hAnsi="宋体" w:cs="宋体"/>
          <w:color w:val="auto"/>
          <w:szCs w:val="21"/>
        </w:rPr>
      </w:pPr>
      <w:r>
        <w:rPr>
          <w:rFonts w:hint="eastAsia" w:ascii="宋体" w:hAnsi="宋体" w:cs="宋体"/>
          <w:color w:val="auto"/>
          <w:szCs w:val="21"/>
        </w:rPr>
        <w:t>5.1评审阶段，评委可能会要求有关供应商就其投标书中含义不明确、同类问题表述不一致或者有明显文字和计算错误的内容进行澄清。供应商必须在规定时间内进行回复，否则将视为放弃回复。请供应商及时关注系统。</w:t>
      </w:r>
    </w:p>
    <w:p w14:paraId="73286C70">
      <w:pPr>
        <w:spacing w:line="440" w:lineRule="exact"/>
        <w:jc w:val="left"/>
        <w:rPr>
          <w:rFonts w:ascii="宋体" w:hAnsi="宋体" w:cs="宋体"/>
          <w:color w:val="auto"/>
          <w:szCs w:val="21"/>
        </w:rPr>
      </w:pPr>
      <w:r>
        <w:rPr>
          <w:rFonts w:hint="eastAsia" w:ascii="宋体" w:hAnsi="宋体" w:cs="宋体"/>
          <w:color w:val="auto"/>
          <w:szCs w:val="21"/>
        </w:rPr>
        <w:t>5.2评委会修正错误的原则：</w:t>
      </w:r>
    </w:p>
    <w:p w14:paraId="774C06DE">
      <w:pPr>
        <w:spacing w:line="440" w:lineRule="exact"/>
        <w:jc w:val="left"/>
        <w:rPr>
          <w:rFonts w:ascii="宋体" w:hAnsi="宋体" w:cs="宋体"/>
          <w:color w:val="auto"/>
          <w:szCs w:val="21"/>
        </w:rPr>
      </w:pPr>
      <w:r>
        <w:rPr>
          <w:rFonts w:hint="eastAsia" w:ascii="宋体" w:hAnsi="宋体" w:cs="宋体"/>
          <w:color w:val="auto"/>
          <w:szCs w:val="21"/>
        </w:rPr>
        <w:t>5.2.1如果数字表示的金额和用文字表示的金额不一致时，以文字表示的金额为准；当货物服务报价表、投标函的总报价与开标一览表不一致时，以开标一览表为准。</w:t>
      </w:r>
    </w:p>
    <w:p w14:paraId="22A18F40">
      <w:pPr>
        <w:spacing w:line="440" w:lineRule="exact"/>
        <w:jc w:val="left"/>
        <w:rPr>
          <w:rFonts w:ascii="宋体" w:hAnsi="宋体" w:cs="宋体"/>
          <w:color w:val="auto"/>
          <w:szCs w:val="21"/>
        </w:rPr>
      </w:pPr>
      <w:r>
        <w:rPr>
          <w:rFonts w:hint="eastAsia" w:ascii="宋体" w:hAnsi="宋体" w:cs="宋体"/>
          <w:color w:val="auto"/>
          <w:szCs w:val="21"/>
        </w:rPr>
        <w:t>5.2.2如果单价与数量的乘积和总价不一致，以单价为准，修正总价及开标一览表；当单价小数点有明显的错位时，评委会将以总价为准，并修正其单价。</w:t>
      </w:r>
    </w:p>
    <w:p w14:paraId="721FC957">
      <w:pPr>
        <w:spacing w:line="440" w:lineRule="exact"/>
        <w:jc w:val="left"/>
        <w:rPr>
          <w:rFonts w:ascii="宋体" w:hAnsi="宋体" w:cs="宋体"/>
          <w:color w:val="auto"/>
          <w:szCs w:val="21"/>
        </w:rPr>
      </w:pPr>
      <w:r>
        <w:rPr>
          <w:rFonts w:hint="eastAsia" w:ascii="宋体" w:hAnsi="宋体" w:cs="宋体"/>
          <w:color w:val="auto"/>
          <w:szCs w:val="21"/>
        </w:rPr>
        <w:t xml:space="preserve"> 5.3评委会将按上述修正错误的方法调整投标文件中的投标报价，调整后的价格应对供应商具有约束力。无论供应商是接受或是拒绝调整后的价格，都应当由供应商进行有效确认。供应商拒绝对投标文件出现的错漏按上述原则进行修正、澄清、说明，评标委员会应当否决其投标。</w:t>
      </w:r>
      <w:bookmarkStart w:id="75" w:name="_Toc469495735"/>
    </w:p>
    <w:p w14:paraId="2EADF9D8">
      <w:pPr>
        <w:widowControl/>
        <w:spacing w:before="162" w:beforeLines="50" w:after="162" w:afterLines="50" w:line="440" w:lineRule="exact"/>
        <w:jc w:val="center"/>
        <w:outlineLvl w:val="2"/>
        <w:rPr>
          <w:rFonts w:ascii="黑体" w:hAnsi="黑体" w:eastAsia="黑体" w:cs="黑体"/>
          <w:b/>
          <w:color w:val="auto"/>
          <w:sz w:val="28"/>
          <w:szCs w:val="28"/>
        </w:rPr>
      </w:pPr>
      <w:bookmarkStart w:id="76" w:name="_Toc6932"/>
      <w:bookmarkStart w:id="77" w:name="_Toc27786"/>
      <w:r>
        <w:rPr>
          <w:rFonts w:hint="eastAsia" w:ascii="黑体" w:hAnsi="黑体" w:eastAsia="黑体" w:cs="黑体"/>
          <w:b/>
          <w:color w:val="auto"/>
          <w:sz w:val="28"/>
          <w:szCs w:val="28"/>
        </w:rPr>
        <w:t>四 比较与评价</w:t>
      </w:r>
      <w:bookmarkEnd w:id="75"/>
      <w:bookmarkEnd w:id="76"/>
      <w:bookmarkEnd w:id="77"/>
    </w:p>
    <w:p w14:paraId="5493EC5F">
      <w:pPr>
        <w:spacing w:line="440" w:lineRule="exact"/>
        <w:jc w:val="left"/>
        <w:rPr>
          <w:rFonts w:ascii="黑体" w:hAnsi="黑体" w:eastAsia="黑体" w:cs="黑体"/>
          <w:b/>
          <w:color w:val="auto"/>
          <w:szCs w:val="21"/>
        </w:rPr>
      </w:pPr>
      <w:r>
        <w:rPr>
          <w:rFonts w:hint="eastAsia" w:ascii="黑体" w:hAnsi="黑体" w:eastAsia="黑体" w:cs="黑体"/>
          <w:b/>
          <w:color w:val="auto"/>
          <w:szCs w:val="21"/>
        </w:rPr>
        <w:t>6.</w:t>
      </w:r>
      <w:bookmarkStart w:id="78" w:name="_Toc362983805"/>
      <w:r>
        <w:rPr>
          <w:rFonts w:hint="eastAsia" w:ascii="黑体" w:hAnsi="黑体" w:eastAsia="黑体" w:cs="黑体"/>
          <w:b/>
          <w:color w:val="auto"/>
          <w:szCs w:val="21"/>
        </w:rPr>
        <w:t xml:space="preserve"> 详细评审即按招标文件中规定的评标方法和标准，评标委员会将对通过初审的投标文件，进行技术和商务部分评估、综合比较与评价。</w:t>
      </w:r>
    </w:p>
    <w:p w14:paraId="18E6D989">
      <w:pPr>
        <w:tabs>
          <w:tab w:val="left" w:pos="1080"/>
        </w:tabs>
        <w:spacing w:line="240" w:lineRule="atLeast"/>
        <w:rPr>
          <w:rFonts w:hint="eastAsia" w:ascii="宋体" w:hAnsi="宋体"/>
          <w:b/>
          <w:color w:val="000000" w:themeColor="text1"/>
          <w:szCs w:val="21"/>
          <w:highlight w:val="none"/>
          <w14:textFill>
            <w14:solidFill>
              <w14:schemeClr w14:val="tx1"/>
            </w14:solidFill>
          </w14:textFill>
        </w:rPr>
      </w:pPr>
      <w:bookmarkStart w:id="79" w:name="_Toc29803"/>
      <w:bookmarkStart w:id="80" w:name="_Toc23516"/>
      <w:bookmarkStart w:id="81" w:name="_Toc469495736"/>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资信评审细则（</w:t>
      </w:r>
      <w:r>
        <w:rPr>
          <w:rFonts w:hint="eastAsia" w:ascii="宋体" w:hAnsi="宋体"/>
          <w:b/>
          <w:color w:val="000000" w:themeColor="text1"/>
          <w:szCs w:val="21"/>
          <w:highlight w:val="none"/>
          <w:lang w:val="en-US" w:eastAsia="zh-CN"/>
          <w14:textFill>
            <w14:solidFill>
              <w14:schemeClr w14:val="tx1"/>
            </w14:solidFill>
          </w14:textFill>
        </w:rPr>
        <w:t>35</w:t>
      </w:r>
      <w:r>
        <w:rPr>
          <w:rFonts w:hint="eastAsia" w:ascii="宋体" w:hAnsi="宋体"/>
          <w:b/>
          <w:color w:val="000000" w:themeColor="text1"/>
          <w:szCs w:val="21"/>
          <w:highlight w:val="none"/>
          <w14:textFill>
            <w14:solidFill>
              <w14:schemeClr w14:val="tx1"/>
            </w14:solidFill>
          </w14:textFill>
        </w:rPr>
        <w:t>分）</w:t>
      </w:r>
    </w:p>
    <w:tbl>
      <w:tblPr>
        <w:tblStyle w:val="22"/>
        <w:tblpPr w:leftFromText="180" w:rightFromText="180" w:vertAnchor="text" w:horzAnchor="page" w:tblpX="998" w:tblpY="369"/>
        <w:tblOverlap w:val="never"/>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56"/>
        <w:gridCol w:w="7237"/>
      </w:tblGrid>
      <w:tr w14:paraId="6F8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7" w:type="dxa"/>
            <w:noWrap w:val="0"/>
            <w:vAlign w:val="center"/>
          </w:tcPr>
          <w:p w14:paraId="063A88C4">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134" w:type="dxa"/>
            <w:noWrap w:val="0"/>
            <w:vAlign w:val="center"/>
          </w:tcPr>
          <w:p w14:paraId="7F4303CC">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评分因素</w:t>
            </w:r>
          </w:p>
        </w:tc>
        <w:tc>
          <w:tcPr>
            <w:tcW w:w="756" w:type="dxa"/>
            <w:noWrap w:val="0"/>
            <w:vAlign w:val="center"/>
          </w:tcPr>
          <w:p w14:paraId="249648AF">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分值</w:t>
            </w:r>
          </w:p>
        </w:tc>
        <w:tc>
          <w:tcPr>
            <w:tcW w:w="7237" w:type="dxa"/>
            <w:noWrap w:val="0"/>
            <w:vAlign w:val="center"/>
          </w:tcPr>
          <w:p w14:paraId="68C980B5">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评审细则</w:t>
            </w:r>
          </w:p>
        </w:tc>
      </w:tr>
      <w:tr w14:paraId="145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17" w:type="dxa"/>
            <w:noWrap w:val="0"/>
            <w:vAlign w:val="center"/>
          </w:tcPr>
          <w:p w14:paraId="43BD1307">
            <w:pPr>
              <w:pStyle w:val="44"/>
              <w:spacing w:before="69" w:line="240" w:lineRule="auto"/>
              <w:ind w:left="135" w:right="28"/>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34" w:type="dxa"/>
            <w:noWrap w:val="0"/>
            <w:vAlign w:val="center"/>
          </w:tcPr>
          <w:p w14:paraId="154F196A">
            <w:pPr>
              <w:pStyle w:val="44"/>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p>
          <w:p w14:paraId="1E3E0441">
            <w:pPr>
              <w:pStyle w:val="44"/>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业绩</w:t>
            </w:r>
          </w:p>
        </w:tc>
        <w:tc>
          <w:tcPr>
            <w:tcW w:w="756" w:type="dxa"/>
            <w:noWrap w:val="0"/>
            <w:vAlign w:val="center"/>
          </w:tcPr>
          <w:p w14:paraId="572B6994">
            <w:pPr>
              <w:pStyle w:val="44"/>
              <w:spacing w:line="240" w:lineRule="auto"/>
              <w:ind w:left="105"/>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分</w:t>
            </w:r>
          </w:p>
        </w:tc>
        <w:tc>
          <w:tcPr>
            <w:tcW w:w="7237" w:type="dxa"/>
            <w:noWrap w:val="0"/>
            <w:vAlign w:val="top"/>
          </w:tcPr>
          <w:p w14:paraId="11F9241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cs="宋体"/>
                <w:sz w:val="21"/>
                <w:szCs w:val="21"/>
                <w:lang w:val="en-US" w:eastAsia="zh-CN"/>
              </w:rPr>
              <w:t>2021年</w:t>
            </w:r>
            <w:r>
              <w:rPr>
                <w:rFonts w:hint="eastAsia" w:ascii="宋体" w:hAnsi="宋体" w:eastAsia="宋体" w:cs="宋体"/>
                <w:sz w:val="21"/>
                <w:szCs w:val="21"/>
              </w:rPr>
              <w:t>1月1日至今</w:t>
            </w:r>
            <w:r>
              <w:rPr>
                <w:rFonts w:hint="eastAsia" w:ascii="宋体" w:hAnsi="宋体" w:cs="宋体"/>
                <w:sz w:val="21"/>
                <w:szCs w:val="21"/>
                <w:lang w:val="en-US" w:eastAsia="zh-CN"/>
              </w:rPr>
              <w:t>（合同签订时间为准），</w:t>
            </w:r>
            <w:r>
              <w:rPr>
                <w:rFonts w:hint="eastAsia" w:ascii="宋体" w:hAnsi="宋体" w:eastAsia="宋体" w:cs="宋体"/>
                <w:sz w:val="21"/>
                <w:szCs w:val="21"/>
              </w:rPr>
              <w:t>有为</w:t>
            </w:r>
            <w:r>
              <w:rPr>
                <w:rFonts w:hint="eastAsia" w:ascii="宋体" w:hAnsi="宋体" w:eastAsia="宋体" w:cs="宋体"/>
                <w:color w:val="000000"/>
                <w:kern w:val="0"/>
                <w:sz w:val="20"/>
                <w:szCs w:val="20"/>
                <w:u w:val="none" w:color="000000"/>
                <w:lang w:val="en-US" w:eastAsia="zh-CN" w:bidi="ar"/>
              </w:rPr>
              <w:t>政府机关、事业单位、国有企业</w:t>
            </w:r>
            <w:r>
              <w:rPr>
                <w:rFonts w:hint="eastAsia" w:ascii="宋体" w:hAnsi="宋体" w:eastAsia="宋体" w:cs="宋体"/>
                <w:sz w:val="21"/>
                <w:szCs w:val="21"/>
              </w:rPr>
              <w:t>提供</w:t>
            </w:r>
            <w:r>
              <w:rPr>
                <w:rFonts w:hint="eastAsia" w:ascii="宋体" w:hAnsi="宋体" w:eastAsia="宋体" w:cs="宋体"/>
                <w:sz w:val="21"/>
                <w:szCs w:val="21"/>
                <w:lang w:val="en-US" w:eastAsia="zh-CN"/>
              </w:rPr>
              <w:t>视频拍摄</w:t>
            </w:r>
            <w:r>
              <w:rPr>
                <w:rFonts w:hint="eastAsia" w:ascii="宋体" w:hAnsi="宋体" w:eastAsia="宋体" w:cs="宋体"/>
                <w:sz w:val="21"/>
                <w:szCs w:val="21"/>
              </w:rPr>
              <w:t>的单项合同金额≥</w:t>
            </w:r>
            <w:r>
              <w:rPr>
                <w:rFonts w:hint="eastAsia" w:ascii="宋体" w:hAnsi="宋体" w:cs="宋体"/>
                <w:sz w:val="21"/>
                <w:szCs w:val="21"/>
                <w:lang w:val="en-US" w:eastAsia="zh-CN"/>
              </w:rPr>
              <w:t>5</w:t>
            </w:r>
            <w:r>
              <w:rPr>
                <w:rFonts w:hint="eastAsia" w:ascii="宋体" w:hAnsi="宋体" w:eastAsia="宋体" w:cs="宋体"/>
                <w:sz w:val="21"/>
                <w:szCs w:val="21"/>
              </w:rPr>
              <w:t>万元</w:t>
            </w:r>
            <w:r>
              <w:rPr>
                <w:rFonts w:hint="eastAsia" w:ascii="宋体" w:hAnsi="宋体" w:cs="宋体"/>
                <w:sz w:val="21"/>
                <w:szCs w:val="21"/>
                <w:lang w:val="en-US" w:eastAsia="zh-CN"/>
              </w:rPr>
              <w:t>的</w:t>
            </w:r>
            <w:r>
              <w:rPr>
                <w:rFonts w:hint="eastAsia" w:ascii="宋体" w:hAnsi="宋体" w:eastAsia="宋体" w:cs="宋体"/>
                <w:sz w:val="21"/>
                <w:szCs w:val="21"/>
              </w:rPr>
              <w:t>业绩</w:t>
            </w:r>
            <w:r>
              <w:rPr>
                <w:rFonts w:hint="eastAsia" w:ascii="宋体" w:hAnsi="宋体" w:cs="宋体"/>
                <w:sz w:val="21"/>
                <w:szCs w:val="21"/>
                <w:lang w:val="en-US" w:eastAsia="zh-CN"/>
              </w:rPr>
              <w:t>案例</w:t>
            </w:r>
            <w:r>
              <w:rPr>
                <w:rFonts w:hint="eastAsia" w:ascii="宋体" w:hAnsi="宋体" w:eastAsia="宋体" w:cs="宋体"/>
                <w:sz w:val="21"/>
                <w:szCs w:val="21"/>
              </w:rPr>
              <w:t>，有一个得</w:t>
            </w:r>
            <w:r>
              <w:rPr>
                <w:rFonts w:hint="eastAsia" w:ascii="宋体" w:hAnsi="宋体" w:cs="宋体"/>
                <w:sz w:val="21"/>
                <w:szCs w:val="21"/>
                <w:lang w:val="en-US" w:eastAsia="zh-CN"/>
              </w:rPr>
              <w:t>5</w:t>
            </w:r>
            <w:r>
              <w:rPr>
                <w:rFonts w:hint="eastAsia" w:ascii="宋体" w:hAnsi="宋体" w:eastAsia="宋体" w:cs="宋体"/>
                <w:sz w:val="21"/>
                <w:szCs w:val="21"/>
              </w:rPr>
              <w:t>分，本项满分</w:t>
            </w:r>
            <w:r>
              <w:rPr>
                <w:rFonts w:hint="eastAsia" w:ascii="宋体" w:hAnsi="宋体" w:cs="宋体"/>
                <w:sz w:val="21"/>
                <w:szCs w:val="21"/>
                <w:lang w:val="en-US" w:eastAsia="zh-CN"/>
              </w:rPr>
              <w:t>15</w:t>
            </w:r>
            <w:r>
              <w:rPr>
                <w:rFonts w:hint="eastAsia" w:ascii="宋体" w:hAnsi="宋体" w:eastAsia="宋体" w:cs="宋体"/>
                <w:sz w:val="21"/>
                <w:szCs w:val="21"/>
              </w:rPr>
              <w:t>分。</w:t>
            </w:r>
          </w:p>
          <w:p w14:paraId="3156BCA5">
            <w:pPr>
              <w:keepNext w:val="0"/>
              <w:keepLines w:val="0"/>
              <w:widowControl/>
              <w:suppressLineNumbers w:val="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sz w:val="21"/>
                <w:szCs w:val="21"/>
              </w:rPr>
              <w:t>【</w:t>
            </w:r>
            <w:r>
              <w:rPr>
                <w:rFonts w:hint="eastAsia" w:ascii="宋体" w:hAnsi="宋体" w:cs="宋体"/>
                <w:b/>
                <w:color w:val="000000" w:themeColor="text1"/>
                <w:szCs w:val="21"/>
                <w:highlight w:val="none"/>
                <w14:textFill>
                  <w14:solidFill>
                    <w14:schemeClr w14:val="tx1"/>
                  </w14:solidFill>
                </w14:textFill>
              </w:rPr>
              <w:t>提供合同原件</w:t>
            </w:r>
            <w:r>
              <w:rPr>
                <w:rFonts w:hint="eastAsia" w:ascii="宋体" w:hAnsi="宋体" w:cs="宋体"/>
                <w:b/>
                <w:color w:val="000000" w:themeColor="text1"/>
                <w:szCs w:val="21"/>
                <w:highlight w:val="none"/>
                <w:lang w:val="en-US" w:eastAsia="zh-CN"/>
                <w14:textFill>
                  <w14:solidFill>
                    <w14:schemeClr w14:val="tx1"/>
                  </w14:solidFill>
                </w14:textFill>
              </w:rPr>
              <w:t>复印件</w:t>
            </w:r>
            <w:r>
              <w:rPr>
                <w:rFonts w:hint="eastAsia" w:ascii="宋体" w:hAnsi="宋体" w:cs="宋体"/>
                <w:b/>
                <w:color w:val="000000" w:themeColor="text1"/>
                <w:szCs w:val="21"/>
                <w:highlight w:val="none"/>
                <w14:textFill>
                  <w14:solidFill>
                    <w14:schemeClr w14:val="tx1"/>
                  </w14:solidFill>
                </w14:textFill>
              </w:rPr>
              <w:t>，业绩确认时间以合同签订时间为准，提供的业绩合同须体现内容，如不能体现须提供业主出具相关证明材料，否则不得分】</w:t>
            </w:r>
          </w:p>
        </w:tc>
      </w:tr>
      <w:tr w14:paraId="3929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noWrap w:val="0"/>
            <w:vAlign w:val="center"/>
          </w:tcPr>
          <w:p w14:paraId="61C9267F">
            <w:pPr>
              <w:pStyle w:val="44"/>
              <w:spacing w:before="69" w:line="240" w:lineRule="auto"/>
              <w:ind w:left="135" w:right="28"/>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vMerge w:val="restart"/>
            <w:noWrap w:val="0"/>
            <w:vAlign w:val="center"/>
          </w:tcPr>
          <w:p w14:paraId="7E2E6F43">
            <w:pPr>
              <w:pStyle w:val="44"/>
              <w:spacing w:before="69" w:line="240" w:lineRule="auto"/>
              <w:ind w:right="12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投标人实力</w:t>
            </w:r>
          </w:p>
        </w:tc>
        <w:tc>
          <w:tcPr>
            <w:tcW w:w="756" w:type="dxa"/>
            <w:noWrap w:val="0"/>
            <w:vAlign w:val="center"/>
          </w:tcPr>
          <w:p w14:paraId="29579D41">
            <w:pPr>
              <w:pStyle w:val="44"/>
              <w:spacing w:line="240" w:lineRule="auto"/>
              <w:ind w:left="105"/>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分</w:t>
            </w:r>
          </w:p>
        </w:tc>
        <w:tc>
          <w:tcPr>
            <w:tcW w:w="7237" w:type="dxa"/>
            <w:noWrap w:val="0"/>
            <w:vAlign w:val="center"/>
          </w:tcPr>
          <w:p w14:paraId="669D4719">
            <w:pPr>
              <w:spacing w:line="240" w:lineRule="auto"/>
              <w:rPr>
                <w:rFonts w:hint="eastAsia" w:ascii="宋体" w:hAnsi="宋体" w:eastAsia="宋体" w:cs="宋体"/>
                <w:sz w:val="21"/>
                <w:szCs w:val="21"/>
              </w:rPr>
            </w:pPr>
            <w:r>
              <w:rPr>
                <w:rFonts w:hint="eastAsia" w:ascii="宋体" w:hAnsi="宋体" w:cs="宋体"/>
                <w:sz w:val="21"/>
                <w:szCs w:val="21"/>
                <w:lang w:val="en-US" w:eastAsia="zh-CN"/>
              </w:rPr>
              <w:t>提供</w:t>
            </w:r>
            <w:r>
              <w:rPr>
                <w:rFonts w:hint="eastAsia" w:ascii="宋体" w:hAnsi="宋体" w:eastAsia="宋体" w:cs="宋体"/>
                <w:sz w:val="21"/>
                <w:szCs w:val="21"/>
              </w:rPr>
              <w:t>20</w:t>
            </w:r>
            <w:r>
              <w:rPr>
                <w:rFonts w:hint="eastAsia" w:ascii="宋体" w:hAnsi="宋体" w:cs="宋体"/>
                <w:sz w:val="21"/>
                <w:szCs w:val="21"/>
                <w:lang w:val="en-US" w:eastAsia="zh-CN"/>
              </w:rPr>
              <w:t>21</w:t>
            </w:r>
            <w:r>
              <w:rPr>
                <w:rFonts w:hint="eastAsia" w:ascii="宋体" w:hAnsi="宋体" w:eastAsia="宋体" w:cs="宋体"/>
                <w:sz w:val="21"/>
                <w:szCs w:val="21"/>
              </w:rPr>
              <w:t>年1月1日至今，在企业经营过程中</w:t>
            </w: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作品</w:t>
            </w:r>
            <w:r>
              <w:rPr>
                <w:rFonts w:hint="eastAsia" w:ascii="宋体" w:hAnsi="宋体" w:eastAsia="宋体" w:cs="宋体"/>
                <w:sz w:val="21"/>
                <w:szCs w:val="21"/>
              </w:rPr>
              <w:t>受到省级及以上行政管理部门或行业协会授予的荣誉表彰的，得</w:t>
            </w:r>
            <w:r>
              <w:rPr>
                <w:rFonts w:hint="eastAsia" w:ascii="宋体" w:hAnsi="宋体" w:cs="宋体"/>
                <w:sz w:val="21"/>
                <w:szCs w:val="21"/>
                <w:lang w:val="en-US" w:eastAsia="zh-CN"/>
              </w:rPr>
              <w:t>5</w:t>
            </w:r>
            <w:r>
              <w:rPr>
                <w:rFonts w:hint="eastAsia" w:ascii="宋体" w:hAnsi="宋体" w:eastAsia="宋体" w:cs="宋体"/>
                <w:sz w:val="21"/>
                <w:szCs w:val="21"/>
              </w:rPr>
              <w:t>分，本项满分1</w:t>
            </w:r>
            <w:r>
              <w:rPr>
                <w:rFonts w:hint="eastAsia" w:ascii="宋体" w:hAnsi="宋体" w:cs="宋体"/>
                <w:sz w:val="21"/>
                <w:szCs w:val="21"/>
                <w:lang w:val="en-US" w:eastAsia="zh-CN"/>
              </w:rPr>
              <w:t>0</w:t>
            </w:r>
            <w:r>
              <w:rPr>
                <w:rFonts w:hint="eastAsia" w:ascii="宋体" w:hAnsi="宋体" w:eastAsia="宋体" w:cs="宋体"/>
                <w:sz w:val="21"/>
                <w:szCs w:val="21"/>
              </w:rPr>
              <w:t>分。</w:t>
            </w:r>
          </w:p>
          <w:p w14:paraId="2DF1CDCD">
            <w:pPr>
              <w:spacing w:line="24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eastAsia="宋体" w:cs="宋体"/>
                <w:b/>
                <w:sz w:val="21"/>
                <w:szCs w:val="21"/>
              </w:rPr>
              <w:t>【提供行政主管部门或行业协会颁发的证书</w:t>
            </w:r>
            <w:r>
              <w:rPr>
                <w:rFonts w:hint="eastAsia" w:ascii="宋体" w:hAnsi="宋体" w:cs="宋体"/>
                <w:b/>
                <w:sz w:val="21"/>
                <w:szCs w:val="21"/>
                <w:lang w:val="en-US" w:eastAsia="zh-CN"/>
              </w:rPr>
              <w:t>复印件，</w:t>
            </w:r>
            <w:r>
              <w:rPr>
                <w:rFonts w:hint="eastAsia" w:ascii="宋体" w:hAnsi="宋体" w:eastAsia="宋体" w:cs="宋体"/>
                <w:b/>
                <w:bCs/>
                <w:sz w:val="21"/>
                <w:szCs w:val="21"/>
              </w:rPr>
              <w:t>未提供不</w:t>
            </w:r>
            <w:r>
              <w:rPr>
                <w:rFonts w:hint="eastAsia" w:ascii="宋体" w:hAnsi="宋体" w:eastAsia="宋体" w:cs="宋体"/>
                <w:b/>
                <w:bCs/>
                <w:sz w:val="21"/>
                <w:szCs w:val="21"/>
                <w:lang w:val="en-US" w:eastAsia="zh-CN"/>
              </w:rPr>
              <w:t>得</w:t>
            </w:r>
            <w:r>
              <w:rPr>
                <w:rFonts w:hint="eastAsia" w:ascii="宋体" w:hAnsi="宋体" w:eastAsia="宋体" w:cs="宋体"/>
                <w:b/>
                <w:bCs/>
                <w:sz w:val="21"/>
                <w:szCs w:val="21"/>
              </w:rPr>
              <w:t>分。</w:t>
            </w:r>
            <w:r>
              <w:rPr>
                <w:rFonts w:hint="eastAsia" w:ascii="宋体" w:hAnsi="宋体" w:eastAsia="宋体" w:cs="宋体"/>
                <w:b/>
                <w:sz w:val="21"/>
                <w:szCs w:val="21"/>
              </w:rPr>
              <w:t>】</w:t>
            </w:r>
          </w:p>
        </w:tc>
      </w:tr>
      <w:tr w14:paraId="31B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14:paraId="392DD71B">
            <w:pPr>
              <w:pStyle w:val="44"/>
              <w:shd w:val="clear"/>
              <w:spacing w:before="69" w:line="240" w:lineRule="auto"/>
              <w:ind w:left="135" w:right="28"/>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Merge w:val="continue"/>
            <w:noWrap w:val="0"/>
            <w:vAlign w:val="center"/>
          </w:tcPr>
          <w:p w14:paraId="08CCD6A1">
            <w:pPr>
              <w:pStyle w:val="44"/>
              <w:shd w:val="clear"/>
              <w:spacing w:before="69" w:line="240" w:lineRule="auto"/>
              <w:ind w:right="120"/>
              <w:jc w:val="center"/>
              <w:rPr>
                <w:rFonts w:hint="eastAsia" w:ascii="宋体" w:hAnsi="宋体" w:eastAsia="宋体" w:cs="宋体"/>
                <w:color w:val="000000" w:themeColor="text1"/>
                <w:szCs w:val="21"/>
                <w:highlight w:val="none"/>
                <w14:textFill>
                  <w14:solidFill>
                    <w14:schemeClr w14:val="tx1"/>
                  </w14:solidFill>
                </w14:textFill>
              </w:rPr>
            </w:pPr>
          </w:p>
        </w:tc>
        <w:tc>
          <w:tcPr>
            <w:tcW w:w="756" w:type="dxa"/>
            <w:shd w:val="clear" w:color="auto" w:fill="auto"/>
            <w:noWrap w:val="0"/>
            <w:vAlign w:val="center"/>
          </w:tcPr>
          <w:p w14:paraId="29DB4F05">
            <w:pPr>
              <w:pStyle w:val="44"/>
              <w:shd w:val="clear"/>
              <w:spacing w:line="240" w:lineRule="auto"/>
              <w:ind w:left="105"/>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分</w:t>
            </w:r>
          </w:p>
        </w:tc>
        <w:tc>
          <w:tcPr>
            <w:tcW w:w="7237" w:type="dxa"/>
            <w:shd w:val="clear" w:color="auto" w:fill="auto"/>
            <w:noWrap w:val="0"/>
            <w:vAlign w:val="center"/>
          </w:tcPr>
          <w:p w14:paraId="39768D04">
            <w:pPr>
              <w:shd w:val="clear"/>
              <w:wordWrap w:val="0"/>
              <w:spacing w:line="44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投标人提供可供</w:t>
            </w:r>
            <w:r>
              <w:rPr>
                <w:rFonts w:hint="eastAsia" w:ascii="宋体" w:hAnsi="宋体" w:cs="宋体"/>
                <w:color w:val="000000"/>
                <w:sz w:val="21"/>
                <w:szCs w:val="21"/>
                <w:highlight w:val="none"/>
                <w:lang w:val="en-US" w:eastAsia="zh-CN"/>
              </w:rPr>
              <w:t>视频宣传</w:t>
            </w:r>
            <w:r>
              <w:rPr>
                <w:rFonts w:hint="eastAsia" w:ascii="宋体" w:hAnsi="宋体" w:eastAsia="宋体" w:cs="宋体"/>
                <w:color w:val="000000"/>
                <w:sz w:val="21"/>
                <w:szCs w:val="21"/>
                <w:highlight w:val="none"/>
                <w:lang w:val="en-US" w:eastAsia="zh-CN"/>
              </w:rPr>
              <w:t>推广的渠道，</w:t>
            </w:r>
            <w:r>
              <w:rPr>
                <w:rFonts w:hint="eastAsia" w:ascii="宋体" w:hAnsi="宋体" w:cs="宋体"/>
                <w:color w:val="000000"/>
                <w:sz w:val="21"/>
                <w:szCs w:val="21"/>
                <w:highlight w:val="none"/>
                <w:lang w:val="en-US" w:eastAsia="zh-CN"/>
              </w:rPr>
              <w:t>配备主流媒体宣传推广资源</w:t>
            </w:r>
            <w:r>
              <w:rPr>
                <w:rFonts w:hint="eastAsia" w:ascii="宋体" w:hAnsi="宋体" w:eastAsia="宋体" w:cs="宋体"/>
                <w:color w:val="000000"/>
                <w:sz w:val="21"/>
                <w:szCs w:val="21"/>
                <w:highlight w:val="none"/>
                <w:lang w:val="en-US" w:eastAsia="zh-CN"/>
              </w:rPr>
              <w:t>：投标人具有（或被授权运营（或使用）市级及以上主流媒体平台的，得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分，最高得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2D3D36C5">
            <w:pPr>
              <w:shd w:val="clear"/>
              <w:spacing w:line="24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本项不累计得分，以最高项得分为准，最高分 </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分。 </w:t>
            </w:r>
          </w:p>
          <w:p w14:paraId="749CC796">
            <w:pPr>
              <w:shd w:val="clear"/>
              <w:spacing w:line="24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注：提供相关证明材料，未提供不得分。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r>
    </w:tbl>
    <w:p w14:paraId="33FFFE58">
      <w:pPr>
        <w:keepNext w:val="0"/>
        <w:keepLines w:val="0"/>
        <w:shd w:val="clear"/>
        <w:kinsoku/>
        <w:overflowPunct/>
        <w:topLinePunct w:val="0"/>
        <w:autoSpaceDE/>
        <w:autoSpaceDN/>
        <w:bidi w:val="0"/>
        <w:spacing w:line="400" w:lineRule="exact"/>
        <w:ind w:firstLine="422" w:firstLineChars="200"/>
        <w:rPr>
          <w:rFonts w:hint="eastAsia" w:ascii="宋体" w:hAns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投标人须按资信评审细则的要求，提供相关的证书、证明材料</w:t>
      </w:r>
      <w:r>
        <w:rPr>
          <w:rFonts w:hint="eastAsia" w:ascii="宋体" w:hAnsi="宋体" w:cs="宋体"/>
          <w:b/>
          <w:szCs w:val="21"/>
          <w:lang w:val="en-US" w:eastAsia="zh-CN"/>
        </w:rPr>
        <w:t>复印件</w:t>
      </w:r>
      <w:r>
        <w:rPr>
          <w:rFonts w:hint="eastAsia" w:ascii="宋体" w:hAnsi="宋体" w:cs="宋体"/>
          <w:b/>
          <w:szCs w:val="21"/>
        </w:rPr>
        <w:t>加盖</w:t>
      </w:r>
      <w:r>
        <w:rPr>
          <w:rFonts w:hint="eastAsia" w:ascii="宋体" w:hAnsi="宋体" w:cs="宋体"/>
          <w:b/>
          <w:szCs w:val="21"/>
          <w:lang w:val="en-US" w:eastAsia="zh-CN"/>
        </w:rPr>
        <w:t>投标供应商</w:t>
      </w:r>
      <w:r>
        <w:rPr>
          <w:rFonts w:hint="eastAsia" w:ascii="宋体" w:hAnsi="宋体" w:cs="宋体"/>
          <w:b/>
          <w:szCs w:val="21"/>
        </w:rPr>
        <w:t>公章，未按要求提供的，所对应项不得分。</w:t>
      </w:r>
    </w:p>
    <w:p w14:paraId="20180A5E">
      <w:pPr>
        <w:keepNext w:val="0"/>
        <w:keepLines w:val="0"/>
        <w:numPr>
          <w:ilvl w:val="0"/>
          <w:numId w:val="0"/>
        </w:numPr>
        <w:kinsoku/>
        <w:wordWrap w:val="0"/>
        <w:overflowPunct/>
        <w:topLinePunct w:val="0"/>
        <w:autoSpaceDE/>
        <w:autoSpaceDN/>
        <w:bidi w:val="0"/>
        <w:spacing w:line="400" w:lineRule="exact"/>
        <w:ind w:firstLine="840" w:firstLineChars="400"/>
        <w:jc w:val="left"/>
        <w:rPr>
          <w:rFonts w:hint="eastAsia"/>
        </w:rPr>
      </w:pPr>
      <w:r>
        <w:rPr>
          <w:rFonts w:hint="eastAsia" w:ascii="Times New Roman" w:hAnsi="Times New Roman" w:eastAsia="宋体" w:cs="Times New Roman"/>
          <w:color w:val="000000"/>
          <w:kern w:val="2"/>
          <w:sz w:val="21"/>
          <w:szCs w:val="21"/>
          <w:lang w:val="en-US" w:eastAsia="zh-CN" w:bidi="ar-SA"/>
        </w:rPr>
        <w:t>2、各评委得分的平均值为投标人资信标得分，分值保留两位小数点。</w:t>
      </w:r>
    </w:p>
    <w:p w14:paraId="60FB076C">
      <w:pPr>
        <w:tabs>
          <w:tab w:val="left" w:pos="1080"/>
        </w:tabs>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技术评审细则（</w:t>
      </w:r>
      <w:r>
        <w:rPr>
          <w:rFonts w:hint="eastAsia" w:ascii="宋体" w:hAnsi="宋体"/>
          <w:b/>
          <w:color w:val="000000" w:themeColor="text1"/>
          <w:szCs w:val="21"/>
          <w:highlight w:val="none"/>
          <w:lang w:val="en-US" w:eastAsia="zh-CN"/>
          <w14:textFill>
            <w14:solidFill>
              <w14:schemeClr w14:val="tx1"/>
            </w14:solidFill>
          </w14:textFill>
        </w:rPr>
        <w:t>55</w:t>
      </w:r>
      <w:r>
        <w:rPr>
          <w:rFonts w:hint="eastAsia" w:ascii="宋体" w:hAnsi="宋体"/>
          <w:b/>
          <w:color w:val="000000" w:themeColor="text1"/>
          <w:szCs w:val="21"/>
          <w:highlight w:val="none"/>
          <w14:textFill>
            <w14:solidFill>
              <w14:schemeClr w14:val="tx1"/>
            </w14:solidFill>
          </w14:textFill>
        </w:rPr>
        <w:t>分）</w:t>
      </w:r>
    </w:p>
    <w:tbl>
      <w:tblPr>
        <w:tblStyle w:val="22"/>
        <w:tblpPr w:leftFromText="180" w:rightFromText="180" w:vertAnchor="text" w:horzAnchor="page" w:tblpX="967" w:tblpY="208"/>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5"/>
        <w:gridCol w:w="709"/>
        <w:gridCol w:w="7150"/>
      </w:tblGrid>
      <w:tr w14:paraId="4BE3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8" w:type="dxa"/>
            <w:noWrap w:val="0"/>
            <w:vAlign w:val="center"/>
          </w:tcPr>
          <w:p w14:paraId="4AD3408F">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265" w:type="dxa"/>
            <w:noWrap w:val="0"/>
            <w:vAlign w:val="center"/>
          </w:tcPr>
          <w:p w14:paraId="40CA4E59">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评分因素</w:t>
            </w:r>
          </w:p>
        </w:tc>
        <w:tc>
          <w:tcPr>
            <w:tcW w:w="709" w:type="dxa"/>
            <w:noWrap w:val="0"/>
            <w:vAlign w:val="center"/>
          </w:tcPr>
          <w:p w14:paraId="738F2F45">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分值</w:t>
            </w:r>
          </w:p>
        </w:tc>
        <w:tc>
          <w:tcPr>
            <w:tcW w:w="7150" w:type="dxa"/>
            <w:noWrap w:val="0"/>
            <w:vAlign w:val="center"/>
          </w:tcPr>
          <w:p w14:paraId="04A09182">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评审细则</w:t>
            </w:r>
          </w:p>
        </w:tc>
      </w:tr>
      <w:tr w14:paraId="0FC8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28" w:type="dxa"/>
            <w:noWrap w:val="0"/>
            <w:vAlign w:val="center"/>
          </w:tcPr>
          <w:p w14:paraId="27B01431">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1265" w:type="dxa"/>
            <w:noWrap w:val="0"/>
            <w:vAlign w:val="center"/>
          </w:tcPr>
          <w:p w14:paraId="75AC02CB">
            <w:pPr>
              <w:adjustRightInd w:val="0"/>
              <w:snapToGrid w:val="0"/>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w:t>
            </w:r>
            <w:r>
              <w:rPr>
                <w:rFonts w:hint="eastAsia" w:ascii="宋体" w:hAnsi="宋体" w:cs="宋体"/>
                <w:color w:val="000000" w:themeColor="text1"/>
                <w:szCs w:val="21"/>
                <w:highlight w:val="none"/>
                <w14:textFill>
                  <w14:solidFill>
                    <w14:schemeClr w14:val="tx1"/>
                  </w14:solidFill>
                </w14:textFill>
              </w:rPr>
              <w:t>方案</w:t>
            </w:r>
          </w:p>
          <w:p w14:paraId="6BA58543">
            <w:pPr>
              <w:spacing w:line="440" w:lineRule="exact"/>
              <w:jc w:val="center"/>
              <w:rPr>
                <w:rFonts w:hint="eastAsia" w:ascii="宋体" w:hAnsi="宋体" w:cs="宋体"/>
                <w:b/>
                <w:bCs/>
                <w:color w:val="000000" w:themeColor="text1"/>
                <w:szCs w:val="21"/>
                <w:highlight w:val="none"/>
                <w14:textFill>
                  <w14:solidFill>
                    <w14:schemeClr w14:val="tx1"/>
                  </w14:solidFill>
                </w14:textFill>
              </w:rPr>
            </w:pPr>
          </w:p>
        </w:tc>
        <w:tc>
          <w:tcPr>
            <w:tcW w:w="709" w:type="dxa"/>
            <w:noWrap w:val="0"/>
            <w:vAlign w:val="center"/>
          </w:tcPr>
          <w:p w14:paraId="06F53BD1">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tc>
        <w:tc>
          <w:tcPr>
            <w:tcW w:w="7150" w:type="dxa"/>
            <w:noWrap w:val="0"/>
            <w:vAlign w:val="center"/>
          </w:tcPr>
          <w:p w14:paraId="22AD11F3">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投标人对项目的理解，体现项目的主题和服务对象特点，体现制作团队 </w:t>
            </w:r>
          </w:p>
          <w:p w14:paraId="388F3376">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的编创能力，整体创意、风格、表现形式能符合项目需求。方案完整、具 </w:t>
            </w:r>
          </w:p>
          <w:p w14:paraId="51D48D8E">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体、可操作性强的得 </w:t>
            </w:r>
            <w:r>
              <w:rPr>
                <w:rFonts w:hint="eastAsia" w:ascii="宋体" w:hAnsi="宋体" w:cs="宋体"/>
                <w:color w:val="000000" w:themeColor="text1"/>
                <w:sz w:val="21"/>
                <w:szCs w:val="21"/>
                <w:highlight w:val="none"/>
                <w:u w:val="none" w:color="000000"/>
                <w:lang w:val="en-US" w:eastAsia="zh-CN" w:bidi="ar-SA"/>
                <w14:textFill>
                  <w14:solidFill>
                    <w14:schemeClr w14:val="tx1"/>
                  </w14:solidFill>
                </w14:textFill>
              </w:rPr>
              <w:t>1</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0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分；方案较完整、较具体、可操作性较强的得 </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8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分； </w:t>
            </w:r>
          </w:p>
          <w:p w14:paraId="39AFCF46">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方案完整度一般、不够具体、操作性一般的得 </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6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分；未提供不得分。 </w:t>
            </w:r>
          </w:p>
          <w:p w14:paraId="5FA9F5E6">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对</w:t>
            </w:r>
            <w:r>
              <w:rPr>
                <w:rFonts w:hint="eastAsia" w:ascii="宋体" w:hAnsi="宋体" w:cs="宋体"/>
                <w:color w:val="000000" w:themeColor="text1"/>
                <w:sz w:val="21"/>
                <w:szCs w:val="21"/>
                <w:highlight w:val="none"/>
                <w:u w:val="none" w:color="000000"/>
                <w:lang w:val="en-US" w:eastAsia="zh-CN" w:bidi="ar-SA"/>
                <w14:textFill>
                  <w14:solidFill>
                    <w14:schemeClr w14:val="tx1"/>
                  </w14:solidFill>
                </w14:textFill>
              </w:rPr>
              <w:t>视频</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策划、</w:t>
            </w:r>
            <w:r>
              <w:rPr>
                <w:rFonts w:hint="eastAsia" w:ascii="宋体" w:hAnsi="宋体" w:cs="宋体"/>
                <w:color w:val="000000" w:themeColor="text1"/>
                <w:sz w:val="21"/>
                <w:szCs w:val="21"/>
                <w:highlight w:val="none"/>
                <w:u w:val="none" w:color="000000"/>
                <w:lang w:val="en-US" w:eastAsia="zh-CN" w:bidi="ar-SA"/>
                <w14:textFill>
                  <w14:solidFill>
                    <w14:schemeClr w14:val="tx1"/>
                  </w14:solidFill>
                </w14:textFill>
              </w:rPr>
              <w:t>拍摄</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方案、工作流程、管理制度、合理化建议等服务实施 </w:t>
            </w:r>
          </w:p>
          <w:p w14:paraId="7F6AA29B">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方案进行综合评审。方案完整、具体、可操作性强的得 </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10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分；方案较完整、 </w:t>
            </w:r>
          </w:p>
          <w:p w14:paraId="35C3F8A3">
            <w:pPr>
              <w:keepNext w:val="0"/>
              <w:keepLines w:val="0"/>
              <w:widowControl/>
              <w:suppressLineNumbers w:val="0"/>
              <w:jc w:val="left"/>
              <w:rPr>
                <w:rFonts w:hint="eastAsia" w:ascii="宋体" w:hAnsi="宋体" w:eastAsia="宋体" w:cs="宋体"/>
                <w:color w:val="000000" w:themeColor="text1"/>
                <w:sz w:val="21"/>
                <w:szCs w:val="21"/>
                <w:highlight w:val="none"/>
                <w:u w:val="none" w:color="000000"/>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较具体、可操作性较强的得 </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8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分；方案完整度一般、不够具体、操作性一 </w:t>
            </w:r>
          </w:p>
          <w:p w14:paraId="173CE62D">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般的得 </w:t>
            </w:r>
            <w:r>
              <w:rPr>
                <w:rFonts w:hint="default" w:ascii="宋体" w:hAnsi="宋体" w:eastAsia="宋体" w:cs="宋体"/>
                <w:color w:val="000000" w:themeColor="text1"/>
                <w:sz w:val="21"/>
                <w:szCs w:val="21"/>
                <w:highlight w:val="none"/>
                <w:u w:val="none" w:color="000000"/>
                <w:lang w:val="en-US" w:eastAsia="zh-CN" w:bidi="ar-SA"/>
                <w14:textFill>
                  <w14:solidFill>
                    <w14:schemeClr w14:val="tx1"/>
                  </w14:solidFill>
                </w14:textFill>
              </w:rPr>
              <w:t xml:space="preserve">6 </w:t>
            </w:r>
            <w:r>
              <w:rPr>
                <w:rFonts w:hint="eastAsia" w:ascii="宋体" w:hAnsi="宋体" w:eastAsia="宋体" w:cs="宋体"/>
                <w:color w:val="000000" w:themeColor="text1"/>
                <w:sz w:val="21"/>
                <w:szCs w:val="21"/>
                <w:highlight w:val="none"/>
                <w:u w:val="none" w:color="000000"/>
                <w:lang w:val="en-US" w:eastAsia="zh-CN" w:bidi="ar-SA"/>
                <w14:textFill>
                  <w14:solidFill>
                    <w14:schemeClr w14:val="tx1"/>
                  </w14:solidFill>
                </w14:textFill>
              </w:rPr>
              <w:t>分；未提供不得分。</w:t>
            </w:r>
          </w:p>
        </w:tc>
      </w:tr>
      <w:tr w14:paraId="3BF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14:paraId="39535F92">
            <w:pPr>
              <w:pStyle w:val="44"/>
              <w:spacing w:line="440" w:lineRule="exact"/>
              <w:ind w:left="135" w:right="28"/>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65" w:type="dxa"/>
            <w:noWrap w:val="0"/>
            <w:vAlign w:val="center"/>
          </w:tcPr>
          <w:p w14:paraId="484F96C0">
            <w:pPr>
              <w:pStyle w:val="44"/>
              <w:autoSpaceDE w:val="0"/>
              <w:autoSpaceDN w:val="0"/>
              <w:spacing w:line="440" w:lineRule="exact"/>
              <w:ind w:left="420" w:right="-44" w:hanging="420" w:hanging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团队成员</w:t>
            </w:r>
          </w:p>
          <w:p w14:paraId="7C1C44BF">
            <w:pPr>
              <w:pStyle w:val="44"/>
              <w:autoSpaceDE w:val="0"/>
              <w:autoSpaceDN w:val="0"/>
              <w:spacing w:line="440" w:lineRule="exact"/>
              <w:ind w:left="420" w:right="-44" w:hanging="420" w:hanging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配备</w:t>
            </w:r>
          </w:p>
        </w:tc>
        <w:tc>
          <w:tcPr>
            <w:tcW w:w="709" w:type="dxa"/>
            <w:noWrap w:val="0"/>
            <w:vAlign w:val="center"/>
          </w:tcPr>
          <w:p w14:paraId="04CBC6A5">
            <w:pPr>
              <w:pStyle w:val="44"/>
              <w:autoSpaceDE w:val="0"/>
              <w:autoSpaceDN w:val="0"/>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分</w:t>
            </w:r>
          </w:p>
        </w:tc>
        <w:tc>
          <w:tcPr>
            <w:tcW w:w="7150" w:type="dxa"/>
            <w:noWrap w:val="0"/>
            <w:vAlign w:val="top"/>
          </w:tcPr>
          <w:p w14:paraId="392175A0">
            <w:pPr>
              <w:pStyle w:val="44"/>
              <w:autoSpaceDE w:val="0"/>
              <w:autoSpaceDN w:val="0"/>
              <w:spacing w:line="440" w:lineRule="exac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有完善的运营团队，</w:t>
            </w:r>
            <w:r>
              <w:rPr>
                <w:rFonts w:hint="eastAsia" w:ascii="宋体" w:hAnsi="宋体" w:eastAsia="宋体" w:cs="宋体"/>
                <w:color w:val="000000" w:themeColor="text1"/>
                <w:szCs w:val="21"/>
                <w:highlight w:val="none"/>
                <w14:textFill>
                  <w14:solidFill>
                    <w14:schemeClr w14:val="tx1"/>
                  </w14:solidFill>
                </w14:textFill>
              </w:rPr>
              <w:t>配备新</w:t>
            </w:r>
            <w:r>
              <w:rPr>
                <w:rFonts w:hint="eastAsia" w:ascii="宋体" w:hAnsi="宋体" w:cs="宋体"/>
                <w:color w:val="000000" w:themeColor="text1"/>
                <w:szCs w:val="21"/>
                <w:highlight w:val="none"/>
                <w:lang w:val="en-US" w:eastAsia="zh-CN"/>
                <w14:textFill>
                  <w14:solidFill>
                    <w14:schemeClr w14:val="tx1"/>
                  </w14:solidFill>
                </w14:textFill>
              </w:rPr>
              <w:t>文案</w:t>
            </w:r>
            <w:r>
              <w:rPr>
                <w:rFonts w:hint="eastAsia" w:ascii="宋体" w:hAnsi="宋体" w:eastAsia="宋体" w:cs="宋体"/>
                <w:color w:val="000000" w:themeColor="text1"/>
                <w:szCs w:val="21"/>
                <w:highlight w:val="none"/>
                <w14:textFill>
                  <w14:solidFill>
                    <w14:schemeClr w14:val="tx1"/>
                  </w14:solidFill>
                </w14:textFill>
              </w:rPr>
              <w:t>策划、新闻编辑、拍摄、视频后期、平面设计</w:t>
            </w:r>
            <w:r>
              <w:rPr>
                <w:rFonts w:hint="eastAsia" w:ascii="宋体" w:hAnsi="宋体" w:eastAsia="宋体" w:cs="宋体"/>
                <w:color w:val="000000" w:themeColor="text1"/>
                <w:szCs w:val="21"/>
                <w:highlight w:val="none"/>
                <w:lang w:val="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相关工作人员</w:t>
            </w:r>
            <w:r>
              <w:rPr>
                <w:rFonts w:hint="eastAsia" w:ascii="宋体" w:hAnsi="宋体" w:eastAsia="宋体" w:cs="宋体"/>
                <w:color w:val="000000" w:themeColor="text1"/>
                <w:szCs w:val="21"/>
                <w:highlight w:val="none"/>
                <w:lang w:val="zh-CN"/>
                <w14:textFill>
                  <w14:solidFill>
                    <w14:schemeClr w14:val="tx1"/>
                  </w14:solidFill>
                </w14:textFill>
              </w:rPr>
              <w:t>，明确团队岗位分工及职责范围，团队最少有</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以上条件都具备得</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val="zh-CN"/>
                <w14:textFill>
                  <w14:solidFill>
                    <w14:schemeClr w14:val="tx1"/>
                  </w14:solidFill>
                </w14:textFill>
              </w:rPr>
              <w:t>分，否则不得分；</w:t>
            </w:r>
          </w:p>
          <w:p w14:paraId="337701B1">
            <w:pPr>
              <w:pStyle w:val="44"/>
              <w:autoSpaceDE w:val="0"/>
              <w:autoSpaceDN w:val="0"/>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bidi="zh-CN"/>
                <w14:textFill>
                  <w14:solidFill>
                    <w14:schemeClr w14:val="tx1"/>
                  </w14:solidFill>
                </w14:textFill>
              </w:rPr>
              <w:t>【</w:t>
            </w:r>
            <w:r>
              <w:rPr>
                <w:rFonts w:hint="eastAsia" w:ascii="宋体" w:hAnsi="宋体" w:eastAsia="宋体" w:cs="宋体"/>
                <w:b/>
                <w:color w:val="000000" w:themeColor="text1"/>
                <w:szCs w:val="21"/>
                <w:highlight w:val="none"/>
                <w:lang w:val="en-US"/>
                <w14:textFill>
                  <w14:solidFill>
                    <w14:schemeClr w14:val="tx1"/>
                  </w14:solidFill>
                </w14:textFill>
              </w:rPr>
              <w:t>上述人员须</w:t>
            </w:r>
            <w:r>
              <w:rPr>
                <w:rFonts w:hint="eastAsia" w:ascii="宋体" w:hAnsi="宋体" w:eastAsia="宋体" w:cs="宋体"/>
                <w:b/>
                <w:color w:val="000000" w:themeColor="text1"/>
                <w:szCs w:val="21"/>
                <w:highlight w:val="none"/>
                <w14:textFill>
                  <w14:solidFill>
                    <w14:schemeClr w14:val="tx1"/>
                  </w14:solidFill>
                </w14:textFill>
              </w:rPr>
              <w:t>提供社保部门出具的本单位为其缴纳的投标前近三个月连续的养老保险证明材料或官网在线打印件（证明文件两个月内有效）</w:t>
            </w:r>
            <w:r>
              <w:rPr>
                <w:rFonts w:hint="eastAsia" w:ascii="宋体" w:hAnsi="宋体" w:eastAsia="宋体" w:cs="宋体"/>
                <w:color w:val="000000" w:themeColor="text1"/>
                <w:szCs w:val="21"/>
                <w:highlight w:val="none"/>
                <w:lang w:val="zh-CN" w:bidi="zh-CN"/>
                <w14:textFill>
                  <w14:solidFill>
                    <w14:schemeClr w14:val="tx1"/>
                  </w14:solidFill>
                </w14:textFill>
              </w:rPr>
              <w:t>】</w:t>
            </w:r>
          </w:p>
        </w:tc>
      </w:tr>
      <w:tr w14:paraId="1957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28" w:type="dxa"/>
            <w:noWrap w:val="0"/>
            <w:vAlign w:val="center"/>
          </w:tcPr>
          <w:p w14:paraId="5567FB0A">
            <w:pPr>
              <w:pStyle w:val="44"/>
              <w:spacing w:line="440" w:lineRule="exact"/>
              <w:ind w:left="135" w:right="28"/>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265" w:type="dxa"/>
            <w:noWrap w:val="0"/>
            <w:vAlign w:val="center"/>
          </w:tcPr>
          <w:p w14:paraId="002B185A">
            <w:pPr>
              <w:pStyle w:val="44"/>
              <w:autoSpaceDE w:val="0"/>
              <w:autoSpaceDN w:val="0"/>
              <w:spacing w:line="440" w:lineRule="exact"/>
              <w:ind w:left="420" w:right="-44" w:hanging="420" w:hanging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cs="宋体"/>
                <w:color w:val="000000" w:themeColor="text1"/>
                <w:szCs w:val="21"/>
                <w:highlight w:val="none"/>
                <w:lang w:val="en-US" w:eastAsia="zh-CN"/>
                <w14:textFill>
                  <w14:solidFill>
                    <w14:schemeClr w14:val="tx1"/>
                  </w14:solidFill>
                </w14:textFill>
              </w:rPr>
              <w:t>保障</w:t>
            </w:r>
          </w:p>
        </w:tc>
        <w:tc>
          <w:tcPr>
            <w:tcW w:w="709" w:type="dxa"/>
            <w:noWrap w:val="0"/>
            <w:vAlign w:val="center"/>
          </w:tcPr>
          <w:p w14:paraId="134C7108">
            <w:pPr>
              <w:pStyle w:val="44"/>
              <w:autoSpaceDE w:val="0"/>
              <w:autoSpaceDN w:val="0"/>
              <w:spacing w:line="440" w:lineRule="exact"/>
              <w:ind w:right="-15" w:firstLine="164" w:firstLineChars="100"/>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23"/>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23"/>
                <w:szCs w:val="21"/>
                <w:highlight w:val="none"/>
                <w14:textFill>
                  <w14:solidFill>
                    <w14:schemeClr w14:val="tx1"/>
                  </w14:solidFill>
                </w14:textFill>
              </w:rPr>
              <w:t>分</w:t>
            </w:r>
          </w:p>
        </w:tc>
        <w:tc>
          <w:tcPr>
            <w:tcW w:w="7150" w:type="dxa"/>
            <w:noWrap w:val="0"/>
            <w:vAlign w:val="top"/>
          </w:tcPr>
          <w:p w14:paraId="30454FB4">
            <w:pPr>
              <w:pStyle w:val="44"/>
              <w:autoSpaceDE w:val="0"/>
              <w:autoSpaceDN w:val="0"/>
              <w:spacing w:line="440" w:lineRule="exact"/>
              <w:ind w:right="-2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具有良好的服务</w:t>
            </w:r>
            <w:r>
              <w:rPr>
                <w:rFonts w:hint="eastAsia" w:ascii="宋体" w:hAnsi="宋体" w:cs="宋体"/>
                <w:color w:val="000000" w:themeColor="text1"/>
                <w:szCs w:val="21"/>
                <w:highlight w:val="none"/>
                <w:lang w:val="en-US" w:eastAsia="zh-CN"/>
                <w14:textFill>
                  <w14:solidFill>
                    <w14:schemeClr w14:val="tx1"/>
                  </w14:solidFill>
                </w14:textFill>
              </w:rPr>
              <w:t>保障</w:t>
            </w:r>
            <w:r>
              <w:rPr>
                <w:rFonts w:hint="eastAsia" w:ascii="宋体" w:hAnsi="宋体" w:eastAsia="宋体" w:cs="宋体"/>
                <w:color w:val="000000" w:themeColor="text1"/>
                <w:szCs w:val="21"/>
                <w:highlight w:val="none"/>
                <w:lang w:val="zh-CN"/>
                <w14:textFill>
                  <w14:solidFill>
                    <w14:schemeClr w14:val="tx1"/>
                  </w14:solidFill>
                </w14:textFill>
              </w:rPr>
              <w:t>措施，根据供应商售后及时性、便捷性、服务质量等情况（如售后服务响应时间、商务车保障等），须承诺接到临时任务30分钟内必须到达响应。对投标单位进行横向比较赋分，优秀的得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0分，良好的得</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分，一般的得</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分，未提供不得分。</w:t>
            </w:r>
          </w:p>
        </w:tc>
      </w:tr>
    </w:tbl>
    <w:p w14:paraId="69751434">
      <w:pPr>
        <w:keepNext w:val="0"/>
        <w:keepLines w:val="0"/>
        <w:tabs>
          <w:tab w:val="left" w:pos="1080"/>
        </w:tabs>
        <w:kinsoku/>
        <w:overflowPunct/>
        <w:topLinePunct w:val="0"/>
        <w:autoSpaceDE/>
        <w:autoSpaceDN/>
        <w:bidi w:val="0"/>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cs="宋体"/>
          <w:b/>
          <w:bCs/>
          <w:color w:val="000000"/>
          <w:szCs w:val="21"/>
          <w:highlight w:val="none"/>
        </w:rPr>
        <w:t>注：</w:t>
      </w:r>
      <w:r>
        <w:rPr>
          <w:rFonts w:hint="eastAsia" w:ascii="宋体" w:hAnsi="宋体" w:eastAsia="宋体" w:cs="宋体"/>
          <w:b/>
          <w:bCs/>
          <w:color w:val="000000"/>
          <w:sz w:val="21"/>
          <w:szCs w:val="21"/>
        </w:rPr>
        <w:t>各评委得分的平均值为投标人</w:t>
      </w:r>
      <w:r>
        <w:rPr>
          <w:rFonts w:hint="eastAsia" w:ascii="宋体" w:hAnsi="宋体" w:eastAsia="宋体" w:cs="宋体"/>
          <w:b/>
          <w:bCs/>
          <w:color w:val="000000"/>
          <w:sz w:val="21"/>
          <w:szCs w:val="21"/>
          <w:lang w:val="en-US" w:eastAsia="zh-CN"/>
        </w:rPr>
        <w:t>技术</w:t>
      </w:r>
      <w:r>
        <w:rPr>
          <w:rFonts w:hint="eastAsia" w:ascii="宋体" w:hAnsi="宋体" w:eastAsia="宋体" w:cs="宋体"/>
          <w:b/>
          <w:bCs/>
          <w:color w:val="000000"/>
          <w:sz w:val="21"/>
          <w:szCs w:val="21"/>
        </w:rPr>
        <w:t>标得分，分值保留</w:t>
      </w: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rPr>
        <w:t>位小数点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第三位四舍五入</w:t>
      </w:r>
      <w:r>
        <w:rPr>
          <w:rFonts w:hint="eastAsia" w:ascii="宋体" w:hAnsi="宋体" w:eastAsia="宋体" w:cs="宋体"/>
          <w:b/>
          <w:bCs/>
          <w:color w:val="000000"/>
          <w:sz w:val="21"/>
          <w:szCs w:val="21"/>
        </w:rPr>
        <w:t>。</w:t>
      </w:r>
    </w:p>
    <w:p w14:paraId="6D896983">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商务标评审细则（10分）</w:t>
      </w:r>
    </w:p>
    <w:tbl>
      <w:tblPr>
        <w:tblStyle w:val="22"/>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50"/>
        <w:gridCol w:w="8213"/>
      </w:tblGrid>
      <w:tr w14:paraId="1B7D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90" w:type="dxa"/>
            <w:noWrap w:val="0"/>
            <w:vAlign w:val="center"/>
          </w:tcPr>
          <w:p w14:paraId="24233DFC">
            <w:pPr>
              <w:widowControl w:val="0"/>
              <w:spacing w:line="440" w:lineRule="exact"/>
              <w:jc w:val="center"/>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商务分</w:t>
            </w:r>
          </w:p>
        </w:tc>
        <w:tc>
          <w:tcPr>
            <w:tcW w:w="850" w:type="dxa"/>
            <w:noWrap w:val="0"/>
            <w:vAlign w:val="center"/>
          </w:tcPr>
          <w:p w14:paraId="4D5881ED">
            <w:pPr>
              <w:widowControl w:val="0"/>
              <w:spacing w:line="440" w:lineRule="exact"/>
              <w:jc w:val="center"/>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10分</w:t>
            </w:r>
          </w:p>
        </w:tc>
        <w:tc>
          <w:tcPr>
            <w:tcW w:w="8213" w:type="dxa"/>
            <w:tcBorders>
              <w:top w:val="single" w:color="auto" w:sz="4" w:space="0"/>
              <w:left w:val="single" w:color="auto" w:sz="4" w:space="0"/>
              <w:bottom w:val="single" w:color="auto" w:sz="4" w:space="0"/>
              <w:right w:val="single" w:color="auto" w:sz="4" w:space="0"/>
            </w:tcBorders>
            <w:noWrap w:val="0"/>
            <w:vAlign w:val="top"/>
          </w:tcPr>
          <w:p w14:paraId="146FCDD8">
            <w:pPr>
              <w:keepNext w:val="0"/>
              <w:keepLines w:val="0"/>
              <w:widowControl/>
              <w:suppressLineNumbers w:val="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1.采购人设置投标报价最高限价，各投标人有效报价不得高于（不含等于）最高限价，否则，其投标文件按无效标处理。 </w:t>
            </w:r>
          </w:p>
          <w:p w14:paraId="4EC436F9">
            <w:pPr>
              <w:keepNext w:val="0"/>
              <w:keepLines w:val="0"/>
              <w:widowControl/>
              <w:suppressLineNumbers w:val="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2.评标基准价=所有有效投标人的最低报价；其得分为满分； </w:t>
            </w:r>
          </w:p>
          <w:p w14:paraId="7C3B06E7">
            <w:pPr>
              <w:keepNext w:val="0"/>
              <w:keepLines w:val="0"/>
              <w:widowControl/>
              <w:suppressLineNumbers w:val="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3.其它报价得分=评标基准价/投标报价*10 分，小数点后保留两位 </w:t>
            </w:r>
          </w:p>
          <w:p w14:paraId="018DE52A">
            <w:pPr>
              <w:keepNext w:val="0"/>
              <w:keepLines w:val="0"/>
              <w:widowControl/>
              <w:suppressLineNumbers w:val="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小数，第三位四舍五入； </w:t>
            </w:r>
          </w:p>
          <w:p w14:paraId="5AA891A2">
            <w:pPr>
              <w:keepNext w:val="0"/>
              <w:keepLines w:val="0"/>
              <w:widowControl/>
              <w:suppressLineNumbers w:val="0"/>
              <w:jc w:val="left"/>
              <w:rPr>
                <w:rFonts w:hint="eastAsia" w:ascii="宋体" w:hAnsi="宋体" w:eastAsia="宋体"/>
                <w:color w:val="000000" w:themeColor="text1"/>
                <w:kern w:val="2"/>
                <w:szCs w:val="21"/>
                <w:highlight w:val="none"/>
                <w:u w:val="none" w:color="auto"/>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4.本项分值由评审委员会负责组织计算</w:t>
            </w:r>
          </w:p>
        </w:tc>
      </w:tr>
    </w:tbl>
    <w:p w14:paraId="105126AE">
      <w:pPr>
        <w:keepNext w:val="0"/>
        <w:keepLines w:val="0"/>
        <w:kinsoku/>
        <w:overflowPunct/>
        <w:topLinePunct w:val="0"/>
        <w:autoSpaceDE/>
        <w:autoSpaceDN/>
        <w:bidi w:val="0"/>
        <w:spacing w:line="400" w:lineRule="exact"/>
        <w:ind w:firstLine="422" w:firstLineChars="200"/>
        <w:rPr>
          <w:rFonts w:hint="eastAsia" w:ascii="宋体" w:cs="宋体"/>
          <w:b/>
          <w:color w:val="000000"/>
          <w:szCs w:val="21"/>
          <w:highlight w:val="none"/>
        </w:rPr>
      </w:pPr>
      <w:r>
        <w:rPr>
          <w:rFonts w:hint="eastAsia" w:ascii="宋体" w:cs="宋体"/>
          <w:b/>
          <w:color w:val="000000"/>
          <w:szCs w:val="21"/>
          <w:highlight w:val="none"/>
        </w:rPr>
        <w:t>特别说明：</w:t>
      </w:r>
    </w:p>
    <w:p w14:paraId="40F1D032">
      <w:pPr>
        <w:keepNext w:val="0"/>
        <w:keepLines w:val="0"/>
        <w:kinsoku/>
        <w:overflowPunct/>
        <w:topLinePunct w:val="0"/>
        <w:autoSpaceDE/>
        <w:autoSpaceDN/>
        <w:bidi w:val="0"/>
        <w:spacing w:line="400" w:lineRule="exact"/>
        <w:ind w:firstLine="422" w:firstLineChars="200"/>
        <w:rPr>
          <w:rFonts w:hint="eastAsia"/>
          <w:b/>
          <w:color w:val="000000"/>
          <w:szCs w:val="21"/>
          <w:highlight w:val="none"/>
        </w:rPr>
      </w:pPr>
      <w:r>
        <w:rPr>
          <w:b/>
          <w:color w:val="000000"/>
          <w:szCs w:val="21"/>
          <w:highlight w:val="none"/>
        </w:rPr>
        <w:t>1</w:t>
      </w:r>
      <w:r>
        <w:rPr>
          <w:rFonts w:hint="eastAsia"/>
          <w:b/>
          <w:color w:val="000000"/>
          <w:szCs w:val="21"/>
          <w:highlight w:val="none"/>
        </w:rPr>
        <w:t>.以上分值均保留二位小数，小数点后第三位四舍五入。</w:t>
      </w:r>
    </w:p>
    <w:p w14:paraId="3C0D00AA">
      <w:pPr>
        <w:keepNext w:val="0"/>
        <w:keepLines w:val="0"/>
        <w:kinsoku/>
        <w:overflowPunct/>
        <w:topLinePunct w:val="0"/>
        <w:autoSpaceDE/>
        <w:autoSpaceDN/>
        <w:bidi w:val="0"/>
        <w:spacing w:line="400" w:lineRule="exact"/>
        <w:ind w:firstLine="421"/>
        <w:rPr>
          <w:rFonts w:ascii="宋体" w:hAnsi="宋体"/>
          <w:b/>
          <w:color w:val="000000"/>
          <w:szCs w:val="21"/>
          <w:highlight w:val="none"/>
        </w:rPr>
      </w:pPr>
      <w:r>
        <w:rPr>
          <w:b/>
          <w:color w:val="000000"/>
          <w:szCs w:val="21"/>
          <w:highlight w:val="none"/>
        </w:rPr>
        <w:t>2</w:t>
      </w:r>
      <w:r>
        <w:rPr>
          <w:rFonts w:hint="eastAsia" w:ascii="宋体" w:hAnsi="宋体"/>
          <w:b/>
          <w:color w:val="000000"/>
          <w:szCs w:val="21"/>
          <w:highlight w:val="none"/>
        </w:rPr>
        <w:t>.投标人应该向采购人提供真实、有效、充分的证书、证件等相关资料，中标候选人所提供的所有加分项资料，采购人将对其进行核实，凡弄虚作假，提供假证明、假文件、假材料的，</w:t>
      </w:r>
      <w:r>
        <w:rPr>
          <w:rFonts w:hint="eastAsia"/>
          <w:b/>
          <w:bCs/>
          <w:color w:val="000000"/>
          <w:highlight w:val="none"/>
        </w:rPr>
        <w:t>如发现虚假应标或者与实际不一致，将上报招标监督管理部门追究其相应责任</w:t>
      </w:r>
      <w:r>
        <w:rPr>
          <w:rFonts w:hint="eastAsia" w:ascii="宋体" w:hAnsi="宋体"/>
          <w:b/>
          <w:color w:val="000000"/>
          <w:szCs w:val="21"/>
          <w:highlight w:val="none"/>
        </w:rPr>
        <w:t>。</w:t>
      </w:r>
    </w:p>
    <w:p w14:paraId="2DD15B31">
      <w:pPr>
        <w:widowControl/>
        <w:spacing w:before="162" w:beforeLines="50" w:after="162" w:afterLines="50" w:line="440" w:lineRule="exact"/>
        <w:jc w:val="center"/>
        <w:outlineLvl w:val="9"/>
        <w:rPr>
          <w:rFonts w:hint="eastAsia" w:ascii="黑体" w:hAnsi="黑体" w:eastAsia="黑体" w:cs="黑体"/>
          <w:b/>
          <w:color w:val="auto"/>
          <w:sz w:val="28"/>
          <w:szCs w:val="28"/>
        </w:rPr>
      </w:pPr>
    </w:p>
    <w:p w14:paraId="21559D29">
      <w:pPr>
        <w:widowControl/>
        <w:spacing w:before="162" w:beforeLines="50" w:after="162" w:afterLines="50" w:line="440" w:lineRule="exact"/>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五  推荐中标候选人</w:t>
      </w:r>
      <w:bookmarkEnd w:id="78"/>
      <w:bookmarkEnd w:id="79"/>
      <w:bookmarkEnd w:id="80"/>
      <w:bookmarkEnd w:id="81"/>
    </w:p>
    <w:bookmarkEnd w:id="66"/>
    <w:p w14:paraId="74FD6866">
      <w:pPr>
        <w:snapToGrid w:val="0"/>
        <w:spacing w:line="440" w:lineRule="exact"/>
        <w:jc w:val="left"/>
        <w:rPr>
          <w:rFonts w:ascii="宋体" w:hAnsi="宋体" w:cs="宋体"/>
          <w:color w:val="auto"/>
          <w:szCs w:val="21"/>
        </w:rPr>
      </w:pPr>
      <w:r>
        <w:rPr>
          <w:rFonts w:hint="eastAsia" w:ascii="宋体" w:hAnsi="宋体" w:cs="宋体"/>
          <w:color w:val="auto"/>
          <w:szCs w:val="21"/>
        </w:rPr>
        <w:t>7.评标委员会按资信、技术和商务得分之和，从高到低按顺序，推荐3名中标候选人。</w:t>
      </w:r>
    </w:p>
    <w:p w14:paraId="14242083">
      <w:pPr>
        <w:snapToGrid w:val="0"/>
        <w:spacing w:line="440" w:lineRule="exact"/>
        <w:jc w:val="left"/>
        <w:rPr>
          <w:rFonts w:ascii="宋体" w:hAnsi="宋体" w:cs="宋体"/>
          <w:color w:val="auto"/>
          <w:szCs w:val="21"/>
        </w:rPr>
      </w:pPr>
      <w:r>
        <w:rPr>
          <w:rFonts w:hint="eastAsia" w:ascii="宋体" w:hAnsi="宋体" w:cs="宋体"/>
          <w:color w:val="auto"/>
          <w:szCs w:val="21"/>
        </w:rPr>
        <w:t>7.1总得分相同的，按投标报价由低到高顺序排列。总得分相同且报价也相同并列的，由招标人现场采取随机摇号的方式确定中标候选人。</w:t>
      </w:r>
    </w:p>
    <w:p w14:paraId="58614C15">
      <w:pPr>
        <w:spacing w:line="440" w:lineRule="exact"/>
        <w:jc w:val="left"/>
        <w:rPr>
          <w:rFonts w:ascii="宋体" w:hAnsi="宋体" w:cs="宋体"/>
          <w:color w:val="auto"/>
          <w:szCs w:val="21"/>
        </w:rPr>
      </w:pPr>
      <w:r>
        <w:rPr>
          <w:rFonts w:hint="eastAsia" w:ascii="宋体" w:hAnsi="宋体" w:cs="宋体"/>
          <w:color w:val="auto"/>
          <w:szCs w:val="21"/>
        </w:rPr>
        <w:t xml:space="preserve"> 8.供应商有下列情形之一的,资格审查后其投标作无效投标处理：</w:t>
      </w:r>
    </w:p>
    <w:p w14:paraId="22F19ADC">
      <w:pPr>
        <w:snapToGrid w:val="0"/>
        <w:spacing w:line="440" w:lineRule="exact"/>
        <w:jc w:val="left"/>
        <w:rPr>
          <w:rFonts w:ascii="宋体" w:hAnsi="宋体" w:cs="宋体"/>
          <w:color w:val="auto"/>
          <w:szCs w:val="21"/>
        </w:rPr>
      </w:pPr>
      <w:r>
        <w:rPr>
          <w:rFonts w:hint="eastAsia" w:ascii="宋体" w:hAnsi="宋体" w:cs="宋体"/>
          <w:color w:val="auto"/>
          <w:szCs w:val="21"/>
        </w:rPr>
        <w:t>（1）供应商为本项目提供招标代理服务的；</w:t>
      </w:r>
    </w:p>
    <w:p w14:paraId="6AB5006A">
      <w:pPr>
        <w:snapToGrid w:val="0"/>
        <w:spacing w:line="440" w:lineRule="exact"/>
        <w:jc w:val="left"/>
        <w:rPr>
          <w:rFonts w:ascii="宋体" w:hAnsi="宋体" w:cs="宋体"/>
          <w:color w:val="auto"/>
          <w:szCs w:val="21"/>
        </w:rPr>
      </w:pPr>
      <w:r>
        <w:rPr>
          <w:rFonts w:hint="eastAsia" w:ascii="宋体" w:hAnsi="宋体" w:cs="宋体"/>
          <w:color w:val="auto"/>
          <w:szCs w:val="21"/>
        </w:rPr>
        <w:t>（2）供应商与在本项目代理机构存在相互任职或工作的；</w:t>
      </w:r>
    </w:p>
    <w:p w14:paraId="6489A67E">
      <w:pPr>
        <w:snapToGrid w:val="0"/>
        <w:spacing w:line="440" w:lineRule="exact"/>
        <w:jc w:val="left"/>
        <w:rPr>
          <w:rFonts w:ascii="宋体" w:hAnsi="宋体" w:cs="宋体"/>
          <w:color w:val="auto"/>
          <w:szCs w:val="21"/>
        </w:rPr>
      </w:pPr>
      <w:r>
        <w:rPr>
          <w:rFonts w:hint="eastAsia" w:ascii="宋体" w:hAnsi="宋体" w:cs="宋体"/>
          <w:color w:val="auto"/>
          <w:szCs w:val="21"/>
        </w:rPr>
        <w:t>（3）评标专家无法查看投标文件中相关资料的；</w:t>
      </w:r>
    </w:p>
    <w:p w14:paraId="5462E839">
      <w:pPr>
        <w:snapToGrid w:val="0"/>
        <w:spacing w:line="440" w:lineRule="exact"/>
        <w:jc w:val="left"/>
        <w:rPr>
          <w:rFonts w:ascii="宋体" w:hAnsi="宋体" w:cs="宋体"/>
          <w:color w:val="auto"/>
          <w:szCs w:val="21"/>
        </w:rPr>
      </w:pPr>
      <w:r>
        <w:rPr>
          <w:rFonts w:hint="eastAsia" w:ascii="宋体" w:hAnsi="宋体" w:cs="宋体"/>
          <w:color w:val="auto"/>
          <w:szCs w:val="21"/>
        </w:rPr>
        <w:t>（4）供应商超出营业范围投标的；</w:t>
      </w:r>
    </w:p>
    <w:p w14:paraId="05FDF0D3">
      <w:pPr>
        <w:snapToGrid w:val="0"/>
        <w:spacing w:line="440" w:lineRule="exact"/>
        <w:jc w:val="left"/>
        <w:rPr>
          <w:rFonts w:ascii="宋体" w:hAnsi="宋体" w:cs="宋体"/>
          <w:color w:val="auto"/>
          <w:szCs w:val="21"/>
        </w:rPr>
      </w:pPr>
      <w:r>
        <w:rPr>
          <w:rFonts w:hint="eastAsia" w:ascii="宋体" w:hAnsi="宋体" w:cs="宋体"/>
          <w:color w:val="auto"/>
          <w:szCs w:val="21"/>
        </w:rPr>
        <w:t>（5）联合体投标未提交联合体协议的；</w:t>
      </w:r>
    </w:p>
    <w:p w14:paraId="500EABEA">
      <w:pPr>
        <w:snapToGrid w:val="0"/>
        <w:spacing w:line="440" w:lineRule="exact"/>
        <w:jc w:val="left"/>
        <w:rPr>
          <w:rFonts w:ascii="宋体" w:hAnsi="宋体" w:cs="宋体"/>
          <w:color w:val="auto"/>
          <w:szCs w:val="21"/>
        </w:rPr>
      </w:pPr>
      <w:r>
        <w:rPr>
          <w:rFonts w:hint="eastAsia" w:ascii="宋体" w:hAnsi="宋体" w:cs="宋体"/>
          <w:color w:val="auto"/>
          <w:szCs w:val="21"/>
        </w:rPr>
        <w:t>（6）被暂停或取消投标资格的；</w:t>
      </w:r>
    </w:p>
    <w:p w14:paraId="5A3779F7">
      <w:pPr>
        <w:snapToGrid w:val="0"/>
        <w:spacing w:line="440" w:lineRule="exact"/>
        <w:jc w:val="left"/>
        <w:rPr>
          <w:rFonts w:ascii="宋体" w:hAnsi="宋体" w:cs="宋体"/>
          <w:color w:val="auto"/>
          <w:szCs w:val="21"/>
        </w:rPr>
      </w:pPr>
      <w:r>
        <w:rPr>
          <w:rFonts w:hint="eastAsia" w:ascii="宋体" w:hAnsi="宋体" w:cs="宋体"/>
          <w:color w:val="auto"/>
          <w:szCs w:val="21"/>
        </w:rPr>
        <w:t>（7）财产被接管或冻结的；</w:t>
      </w:r>
    </w:p>
    <w:p w14:paraId="3300D881">
      <w:pPr>
        <w:snapToGrid w:val="0"/>
        <w:spacing w:line="440" w:lineRule="exact"/>
        <w:jc w:val="left"/>
        <w:rPr>
          <w:rFonts w:ascii="宋体" w:hAnsi="宋体" w:cs="宋体"/>
          <w:color w:val="auto"/>
          <w:szCs w:val="21"/>
        </w:rPr>
      </w:pPr>
      <w:r>
        <w:rPr>
          <w:rFonts w:hint="eastAsia" w:ascii="宋体" w:hAnsi="宋体" w:cs="宋体"/>
          <w:color w:val="auto"/>
          <w:szCs w:val="21"/>
        </w:rPr>
        <w:t>（8）供应商单位负责人为同一人或者存在</w:t>
      </w:r>
      <w:r>
        <w:rPr>
          <w:rFonts w:hint="eastAsia" w:ascii="宋体" w:hAnsi="宋体" w:cs="宋体"/>
          <w:color w:val="auto"/>
          <w:szCs w:val="21"/>
          <w:lang w:eastAsia="zh-CN"/>
        </w:rPr>
        <w:t>直接</w:t>
      </w:r>
      <w:r>
        <w:rPr>
          <w:rFonts w:hint="eastAsia" w:ascii="宋体" w:hAnsi="宋体" w:cs="宋体"/>
          <w:color w:val="auto"/>
          <w:szCs w:val="21"/>
        </w:rPr>
        <w:t>控股、管理关系的不同单位的；</w:t>
      </w:r>
    </w:p>
    <w:p w14:paraId="6D4C3C32">
      <w:pPr>
        <w:snapToGrid w:val="0"/>
        <w:spacing w:line="440" w:lineRule="exact"/>
        <w:jc w:val="left"/>
        <w:rPr>
          <w:rFonts w:ascii="宋体" w:hAnsi="宋体" w:cs="宋体"/>
          <w:color w:val="auto"/>
          <w:szCs w:val="21"/>
        </w:rPr>
      </w:pPr>
      <w:r>
        <w:rPr>
          <w:rFonts w:hint="eastAsia" w:ascii="宋体" w:hAnsi="宋体" w:cs="宋体"/>
          <w:color w:val="auto"/>
          <w:szCs w:val="21"/>
        </w:rPr>
        <w:t>（9）供应商基本资格条件和特定资格条件中有一项及以上不符合要求的；</w:t>
      </w:r>
    </w:p>
    <w:p w14:paraId="49A7BF68">
      <w:pPr>
        <w:snapToGrid w:val="0"/>
        <w:spacing w:line="440" w:lineRule="exact"/>
        <w:jc w:val="left"/>
        <w:rPr>
          <w:rFonts w:ascii="宋体" w:hAnsi="宋体" w:cs="宋体"/>
          <w:color w:val="auto"/>
          <w:szCs w:val="21"/>
        </w:rPr>
      </w:pPr>
      <w:r>
        <w:rPr>
          <w:rFonts w:hint="eastAsia" w:ascii="宋体" w:hAnsi="宋体" w:cs="宋体"/>
          <w:color w:val="auto"/>
          <w:szCs w:val="21"/>
        </w:rPr>
        <w:t xml:space="preserve"> 8.1供应商有下列情形之一的,符合性审查后其投标按无效投标处理：</w:t>
      </w:r>
    </w:p>
    <w:p w14:paraId="1DF3E2D8">
      <w:pPr>
        <w:snapToGrid w:val="0"/>
        <w:spacing w:line="440" w:lineRule="exact"/>
        <w:jc w:val="left"/>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14:paraId="7078245E">
      <w:pPr>
        <w:snapToGrid w:val="0"/>
        <w:spacing w:line="440" w:lineRule="exact"/>
        <w:jc w:val="left"/>
        <w:rPr>
          <w:rFonts w:ascii="宋体" w:hAnsi="宋体" w:cs="宋体"/>
          <w:color w:val="auto"/>
          <w:szCs w:val="21"/>
        </w:rPr>
      </w:pPr>
      <w:r>
        <w:rPr>
          <w:rFonts w:hint="eastAsia" w:ascii="宋体" w:hAnsi="宋体" w:cs="宋体"/>
          <w:color w:val="auto"/>
          <w:szCs w:val="21"/>
        </w:rPr>
        <w:t>（2）未按规定的格式填写，实质性内容不全或关键字迹模糊、无法辨认的；</w:t>
      </w:r>
    </w:p>
    <w:p w14:paraId="4C2B10ED">
      <w:pPr>
        <w:snapToGrid w:val="0"/>
        <w:spacing w:line="440" w:lineRule="exact"/>
        <w:jc w:val="left"/>
        <w:rPr>
          <w:rFonts w:ascii="宋体" w:hAnsi="宋体" w:cs="宋体"/>
          <w:color w:val="auto"/>
          <w:szCs w:val="21"/>
        </w:rPr>
      </w:pPr>
      <w:r>
        <w:rPr>
          <w:rFonts w:hint="eastAsia" w:ascii="宋体" w:hAnsi="宋体" w:cs="宋体"/>
          <w:color w:val="auto"/>
          <w:szCs w:val="21"/>
        </w:rPr>
        <w:t>（3）投标文件没有对招标文件的实质性要求和条件作出响应；</w:t>
      </w:r>
    </w:p>
    <w:p w14:paraId="323A9EBB">
      <w:pPr>
        <w:spacing w:line="440" w:lineRule="exact"/>
        <w:jc w:val="left"/>
        <w:rPr>
          <w:rFonts w:ascii="宋体" w:hAnsi="宋体" w:cs="宋体"/>
          <w:color w:val="auto"/>
          <w:szCs w:val="21"/>
        </w:rPr>
      </w:pPr>
      <w:r>
        <w:rPr>
          <w:rFonts w:hint="eastAsia" w:ascii="宋体" w:hAnsi="宋体" w:cs="宋体"/>
          <w:color w:val="auto"/>
          <w:szCs w:val="21"/>
        </w:rPr>
        <w:t>（4）投标报价超出规定的投标限价或公布的采购预算的；</w:t>
      </w:r>
    </w:p>
    <w:p w14:paraId="1DF43031">
      <w:pPr>
        <w:snapToGrid w:val="0"/>
        <w:spacing w:line="440" w:lineRule="exact"/>
        <w:jc w:val="left"/>
        <w:rPr>
          <w:rFonts w:ascii="宋体" w:hAnsi="宋体" w:cs="宋体"/>
          <w:color w:val="auto"/>
          <w:szCs w:val="21"/>
        </w:rPr>
      </w:pPr>
      <w:r>
        <w:rPr>
          <w:rFonts w:hint="eastAsia" w:ascii="宋体" w:hAnsi="宋体" w:cs="宋体"/>
          <w:color w:val="auto"/>
          <w:szCs w:val="21"/>
        </w:rPr>
        <w:t>（5）不按评标委员会要求澄清、说明或补正的，或者评标委员会根据招标文件的规定对招标文件的计算错误进行修正后，供应商不接受修正的投标报价的。</w:t>
      </w:r>
    </w:p>
    <w:p w14:paraId="355320E6">
      <w:pPr>
        <w:snapToGrid w:val="0"/>
        <w:spacing w:line="440" w:lineRule="exact"/>
        <w:jc w:val="left"/>
        <w:rPr>
          <w:rFonts w:ascii="宋体" w:hAnsi="宋体" w:cs="宋体"/>
          <w:color w:val="auto"/>
          <w:szCs w:val="21"/>
        </w:rPr>
      </w:pPr>
      <w:r>
        <w:rPr>
          <w:rFonts w:hint="eastAsia" w:ascii="宋体" w:hAnsi="宋体" w:cs="宋体"/>
          <w:color w:val="auto"/>
          <w:szCs w:val="21"/>
        </w:rPr>
        <w:t>（6）投标文件含有采购人不能接受的附加条件的；</w:t>
      </w:r>
    </w:p>
    <w:p w14:paraId="0B2DFA31">
      <w:pPr>
        <w:tabs>
          <w:tab w:val="left" w:pos="1123"/>
        </w:tabs>
        <w:snapToGrid w:val="0"/>
        <w:spacing w:line="440" w:lineRule="exact"/>
        <w:jc w:val="left"/>
        <w:rPr>
          <w:rFonts w:ascii="宋体" w:hAnsi="宋体" w:cs="宋体"/>
          <w:color w:val="auto"/>
          <w:szCs w:val="21"/>
        </w:rPr>
      </w:pPr>
      <w:r>
        <w:rPr>
          <w:rFonts w:hint="eastAsia" w:ascii="宋体" w:hAnsi="宋体" w:cs="宋体"/>
          <w:color w:val="auto"/>
          <w:szCs w:val="21"/>
        </w:rPr>
        <w:t>（7）招标文件规定的其他无效投标情形。</w:t>
      </w:r>
    </w:p>
    <w:p w14:paraId="71941EE0">
      <w:pPr>
        <w:snapToGrid w:val="0"/>
        <w:spacing w:line="440" w:lineRule="exact"/>
        <w:jc w:val="left"/>
        <w:rPr>
          <w:rFonts w:ascii="宋体" w:hAnsi="宋体" w:cs="宋体"/>
          <w:color w:val="auto"/>
          <w:szCs w:val="21"/>
        </w:rPr>
      </w:pPr>
      <w:r>
        <w:rPr>
          <w:rFonts w:hint="eastAsia" w:ascii="宋体" w:hAnsi="宋体" w:cs="宋体"/>
          <w:color w:val="auto"/>
          <w:szCs w:val="21"/>
        </w:rPr>
        <w:t>8.2 供应商有下列情形之一的, 详细评审后其投标按无效投标处理：</w:t>
      </w:r>
    </w:p>
    <w:p w14:paraId="0295668E">
      <w:pPr>
        <w:snapToGrid w:val="0"/>
        <w:spacing w:line="440" w:lineRule="exact"/>
        <w:jc w:val="left"/>
        <w:rPr>
          <w:rFonts w:ascii="宋体" w:hAnsi="宋体" w:cs="宋体"/>
          <w:color w:val="auto"/>
          <w:szCs w:val="21"/>
        </w:rPr>
      </w:pPr>
      <w:r>
        <w:rPr>
          <w:rFonts w:hint="eastAsia" w:ascii="宋体" w:hAnsi="宋体" w:cs="宋体"/>
          <w:color w:val="auto"/>
          <w:szCs w:val="21"/>
        </w:rPr>
        <w:t>（1）投标产品不符合必须强制执行的国家标准的；</w:t>
      </w:r>
    </w:p>
    <w:p w14:paraId="279F5798">
      <w:pPr>
        <w:snapToGrid w:val="0"/>
        <w:spacing w:line="440" w:lineRule="exact"/>
        <w:jc w:val="left"/>
        <w:rPr>
          <w:rFonts w:ascii="宋体" w:hAnsi="宋体" w:cs="宋体"/>
          <w:color w:val="auto"/>
          <w:szCs w:val="21"/>
        </w:rPr>
      </w:pPr>
      <w:r>
        <w:rPr>
          <w:rFonts w:hint="eastAsia" w:ascii="宋体" w:hAnsi="宋体" w:cs="宋体"/>
          <w:color w:val="auto"/>
          <w:szCs w:val="21"/>
        </w:rPr>
        <w:t>（2）供应商有串通投标、弄虚作假、行贿等违法行为；</w:t>
      </w:r>
    </w:p>
    <w:p w14:paraId="332F0467">
      <w:pPr>
        <w:snapToGrid w:val="0"/>
        <w:spacing w:line="440" w:lineRule="exact"/>
        <w:jc w:val="left"/>
        <w:rPr>
          <w:rFonts w:ascii="宋体" w:hAnsi="宋体" w:cs="宋体"/>
          <w:color w:val="auto"/>
          <w:szCs w:val="21"/>
        </w:rPr>
      </w:pPr>
      <w:r>
        <w:rPr>
          <w:rFonts w:hint="eastAsia" w:ascii="宋体" w:hAnsi="宋体" w:cs="宋体"/>
          <w:color w:val="auto"/>
          <w:szCs w:val="21"/>
        </w:rPr>
        <w:t>（3）投标文件含有违反国家法律、法规的内容，或附有招标人不能接受的条件的；</w:t>
      </w:r>
    </w:p>
    <w:p w14:paraId="43DD43D1">
      <w:pPr>
        <w:spacing w:line="440" w:lineRule="exact"/>
        <w:jc w:val="left"/>
        <w:rPr>
          <w:rFonts w:ascii="宋体" w:hAnsi="宋体" w:cs="宋体"/>
          <w:color w:val="auto"/>
          <w:szCs w:val="21"/>
        </w:rPr>
      </w:pPr>
      <w:r>
        <w:rPr>
          <w:rFonts w:hint="eastAsia" w:ascii="宋体" w:hAnsi="宋体" w:cs="宋体"/>
          <w:color w:val="auto"/>
          <w:szCs w:val="21"/>
        </w:rPr>
        <w:t>（4）在同一项目（或同一标段）中有多个供应商有效投标报价接近最高限价，且评标委员会认为报价出现异常的，可以宣布其投标无效；</w:t>
      </w:r>
    </w:p>
    <w:p w14:paraId="02F0F6BD">
      <w:pPr>
        <w:spacing w:line="440" w:lineRule="exact"/>
        <w:jc w:val="left"/>
        <w:rPr>
          <w:rFonts w:ascii="宋体" w:hAnsi="宋体" w:cs="宋体"/>
          <w:color w:val="auto"/>
          <w:szCs w:val="21"/>
        </w:rPr>
      </w:pPr>
      <w:r>
        <w:rPr>
          <w:rFonts w:hint="eastAsia" w:ascii="宋体" w:hAnsi="宋体" w:cs="宋体"/>
          <w:color w:val="auto"/>
          <w:szCs w:val="21"/>
        </w:rPr>
        <w:t>（5）报价明显低于其他供应商，且不能证明报价合理性的投标无效；</w:t>
      </w:r>
    </w:p>
    <w:p w14:paraId="5FA84C11">
      <w:pPr>
        <w:spacing w:line="440" w:lineRule="exact"/>
        <w:jc w:val="left"/>
        <w:rPr>
          <w:rFonts w:ascii="宋体" w:hAnsi="宋体" w:cs="宋体"/>
          <w:color w:val="auto"/>
          <w:szCs w:val="21"/>
        </w:rPr>
      </w:pPr>
      <w:r>
        <w:rPr>
          <w:rFonts w:hint="eastAsia" w:ascii="宋体" w:hAnsi="宋体" w:cs="宋体"/>
          <w:color w:val="auto"/>
          <w:szCs w:val="21"/>
        </w:rPr>
        <w:t>（6）拒不确认评标委员会评审修正的投标无效。</w:t>
      </w:r>
    </w:p>
    <w:p w14:paraId="72360145">
      <w:pPr>
        <w:pageBreakBefore/>
        <w:spacing w:before="162" w:beforeLines="50" w:after="162" w:afterLines="50" w:line="440" w:lineRule="exact"/>
        <w:ind w:firstLine="2249" w:firstLineChars="700"/>
        <w:jc w:val="both"/>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第四章  采购需求及服务要求</w:t>
      </w:r>
    </w:p>
    <w:p w14:paraId="26054EF9">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为做好建校45周年系列宣传工作，拟制作建校45周年主题的短视频素材和图文素材</w:t>
      </w:r>
      <w:r>
        <w:rPr>
          <w:rFonts w:hint="eastAsia" w:ascii="宋体" w:hAnsi="宋体" w:eastAsia="宋体" w:cs="宋体"/>
          <w:color w:val="auto"/>
          <w:sz w:val="28"/>
          <w:szCs w:val="28"/>
          <w:lang w:eastAsia="zh-CN"/>
        </w:rPr>
        <w:t>；</w:t>
      </w:r>
    </w:p>
    <w:p w14:paraId="1E11C20D">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一、素材内容及要求</w:t>
      </w:r>
    </w:p>
    <w:p w14:paraId="08B861A5">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1、校园大门短视频</w:t>
      </w:r>
    </w:p>
    <w:p w14:paraId="3391E812">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能够完整展现“XX开放大学”门牌的正门视频画面（远景、中景、近景都要），可多角度移动拍摄。</w:t>
      </w:r>
    </w:p>
    <w:p w14:paraId="60CA2B59">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2、校园景色短视频</w:t>
      </w:r>
    </w:p>
    <w:p w14:paraId="02671C06">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要求：展现校园内景的视频画面</w:t>
      </w:r>
    </w:p>
    <w:p w14:paraId="5BE897B8">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3、教职工祝福短视频</w:t>
      </w:r>
    </w:p>
    <w:p w14:paraId="116CDA92">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要求：市级开放大学校领导和在职教职工15人以上齐声祝福视频，视频时长不超过30秒</w:t>
      </w:r>
      <w:r>
        <w:rPr>
          <w:rFonts w:hint="eastAsia" w:ascii="宋体" w:hAnsi="宋体" w:eastAsia="宋体" w:cs="宋体"/>
          <w:b/>
          <w:bCs/>
          <w:color w:val="auto"/>
          <w:sz w:val="28"/>
          <w:szCs w:val="28"/>
          <w:lang w:eastAsia="zh-CN"/>
        </w:rPr>
        <w:t>。</w:t>
      </w:r>
    </w:p>
    <w:p w14:paraId="2C2E607B">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4、优秀学子感言短视频</w:t>
      </w:r>
    </w:p>
    <w:p w14:paraId="3B4AA128">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要求：视频形式可以为一人、多人或一个班级，视频时长不超过50秒，视频拍摄地点可以选择在学生工作岗位或者在学校校园等</w:t>
      </w:r>
      <w:r>
        <w:rPr>
          <w:rFonts w:hint="eastAsia" w:ascii="宋体" w:hAnsi="宋体" w:eastAsia="宋体" w:cs="宋体"/>
          <w:color w:val="auto"/>
          <w:sz w:val="28"/>
          <w:szCs w:val="28"/>
          <w:lang w:eastAsia="zh-CN"/>
        </w:rPr>
        <w:t>。</w:t>
      </w:r>
    </w:p>
    <w:p w14:paraId="378CB45A">
      <w:pPr>
        <w:keepNext w:val="0"/>
        <w:keepLines w:val="0"/>
        <w:pageBreakBefore w:val="0"/>
        <w:widowControl w:val="0"/>
        <w:numPr>
          <w:ilvl w:val="0"/>
          <w:numId w:val="1"/>
        </w:numPr>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学校总体的宣传片</w:t>
      </w:r>
    </w:p>
    <w:p w14:paraId="136C46DA">
      <w:pPr>
        <w:keepNext w:val="0"/>
        <w:keepLines w:val="0"/>
        <w:pageBreakBefore w:val="0"/>
        <w:widowControl w:val="0"/>
        <w:numPr>
          <w:ilvl w:val="0"/>
          <w:numId w:val="0"/>
        </w:numPr>
        <w:kinsoku/>
        <w:wordWrap/>
        <w:overflowPunct/>
        <w:topLinePunct w:val="0"/>
        <w:bidi w:val="0"/>
        <w:snapToGrid/>
        <w:spacing w:line="520" w:lineRule="exact"/>
        <w:ind w:firstLine="280" w:firstLineChars="1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视频时长5分钟左右。</w:t>
      </w:r>
    </w:p>
    <w:p w14:paraId="33056A57">
      <w:pPr>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二、短视频素材拍摄要求</w:t>
      </w:r>
    </w:p>
    <w:p w14:paraId="36DB7161">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拍摄设备：使用专业高清摄像机或单反相机（尽量避免使用手机，以免清晰度和稳定性欠佳），采用16:9横向画幅拍摄（避免竖屏拍摄）；有条件可以使用无人机航拍。</w:t>
      </w:r>
    </w:p>
    <w:p w14:paraId="15AF9442">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画质清晰：拍摄前注意对焦、调整亮度、白平衡。</w:t>
      </w:r>
    </w:p>
    <w:p w14:paraId="3219CE7B">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画面稳定：</w:t>
      </w:r>
      <w:r>
        <w:rPr>
          <w:rFonts w:hint="eastAsia" w:ascii="宋体" w:hAnsi="宋体" w:eastAsia="宋体" w:cs="宋体"/>
          <w:b/>
          <w:bCs/>
          <w:color w:val="auto"/>
          <w:sz w:val="28"/>
          <w:szCs w:val="28"/>
        </w:rPr>
        <w:t>要求选用三脚架、手持稳定器、轨道、摇臂等设备辅助拍摄，</w:t>
      </w:r>
      <w:r>
        <w:rPr>
          <w:rFonts w:hint="eastAsia" w:ascii="宋体" w:hAnsi="宋体" w:eastAsia="宋体" w:cs="宋体"/>
          <w:color w:val="auto"/>
          <w:sz w:val="28"/>
          <w:szCs w:val="28"/>
        </w:rPr>
        <w:t>避免手持设备拍摄，保证画面的稳定性。带推拉摇移的镜头，注意保持“起行收”的拍摄节奏，起——先定景拍摄3秒，行——然后根据需要对拍摄对象进行平稳流畅的推拉摇移运镜，收——运镜结束后再定景拍摄3秒。</w:t>
      </w:r>
    </w:p>
    <w:p w14:paraId="770ED2BC">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画面美观：注意</w:t>
      </w:r>
      <w:r>
        <w:rPr>
          <w:rFonts w:hint="eastAsia" w:ascii="宋体" w:hAnsi="宋体" w:eastAsia="宋体" w:cs="宋体"/>
          <w:b/>
          <w:bCs/>
          <w:color w:val="auto"/>
          <w:sz w:val="28"/>
          <w:szCs w:val="28"/>
        </w:rPr>
        <w:t>调整水平</w:t>
      </w:r>
      <w:r>
        <w:rPr>
          <w:rFonts w:hint="eastAsia" w:ascii="宋体" w:hAnsi="宋体" w:eastAsia="宋体" w:cs="宋体"/>
          <w:color w:val="auto"/>
          <w:sz w:val="28"/>
          <w:szCs w:val="28"/>
        </w:rPr>
        <w:t>（避免出现画面倾斜），构图合理，可采用对称构图或三分线构图，如采用全景镜头拍摄要保证拍摄对象的完整性（录制刻有学校名字的门牌、logo画面时，须完整呈现门牌和logo），拍摄人物时，注意主体人物与背景的比例合理。</w:t>
      </w:r>
    </w:p>
    <w:p w14:paraId="68FFC3BD">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5、人物</w:t>
      </w:r>
      <w:r>
        <w:rPr>
          <w:rFonts w:hint="eastAsia" w:ascii="宋体" w:hAnsi="宋体" w:eastAsia="宋体" w:cs="宋体"/>
          <w:color w:val="auto"/>
          <w:sz w:val="28"/>
          <w:szCs w:val="28"/>
        </w:rPr>
        <w:t>： 拍摄对象平视镜头，</w:t>
      </w:r>
      <w:r>
        <w:rPr>
          <w:rFonts w:hint="eastAsia" w:ascii="宋体" w:hAnsi="宋体" w:eastAsia="宋体" w:cs="宋体"/>
          <w:b/>
          <w:bCs/>
          <w:color w:val="auto"/>
          <w:sz w:val="28"/>
          <w:szCs w:val="28"/>
        </w:rPr>
        <w:t>注意用光</w:t>
      </w:r>
      <w:r>
        <w:rPr>
          <w:rFonts w:hint="eastAsia" w:ascii="宋体" w:hAnsi="宋体" w:eastAsia="宋体" w:cs="宋体"/>
          <w:color w:val="auto"/>
          <w:sz w:val="28"/>
          <w:szCs w:val="28"/>
        </w:rPr>
        <w:t>，保证人物面部清晰，不灰暗、不曝光，两侧脸光线尽量一致，拍摄时不要背对灯光和顶光，戴眼镜的不正对点光源，尽量找镜片不反光的角度。</w:t>
      </w:r>
    </w:p>
    <w:p w14:paraId="025E60F5">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宋体" w:hAnsi="宋体" w:eastAsia="宋体" w:cs="宋体"/>
          <w:strike/>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声音：拍摄教职工、校友祝福及优秀学子感言的视频时，拍摄对象吐字清晰、</w:t>
      </w:r>
      <w:r>
        <w:rPr>
          <w:rFonts w:hint="eastAsia" w:ascii="宋体" w:hAnsi="宋体" w:eastAsia="宋体" w:cs="宋体"/>
          <w:b/>
          <w:bCs/>
          <w:color w:val="auto"/>
          <w:sz w:val="28"/>
          <w:szCs w:val="28"/>
        </w:rPr>
        <w:t>声音洪亮</w:t>
      </w:r>
      <w:r>
        <w:rPr>
          <w:rFonts w:hint="eastAsia" w:ascii="宋体" w:hAnsi="宋体" w:eastAsia="宋体" w:cs="宋体"/>
          <w:color w:val="auto"/>
          <w:sz w:val="28"/>
          <w:szCs w:val="28"/>
        </w:rPr>
        <w:t>，集体拍摄时注意声音整齐，有条件可以选用无线麦收音，要求</w:t>
      </w:r>
      <w:r>
        <w:rPr>
          <w:rFonts w:hint="eastAsia" w:ascii="宋体" w:hAnsi="宋体" w:eastAsia="宋体" w:cs="宋体"/>
          <w:b/>
          <w:bCs/>
          <w:color w:val="auto"/>
          <w:sz w:val="28"/>
          <w:szCs w:val="28"/>
        </w:rPr>
        <w:t>声画必须同步</w:t>
      </w:r>
      <w:r>
        <w:rPr>
          <w:rFonts w:hint="eastAsia" w:ascii="宋体" w:hAnsi="宋体" w:eastAsia="宋体" w:cs="宋体"/>
          <w:color w:val="auto"/>
          <w:sz w:val="28"/>
          <w:szCs w:val="28"/>
        </w:rPr>
        <w:t>；校园大门及校园景色无需录制声音。</w:t>
      </w:r>
    </w:p>
    <w:p w14:paraId="7C59CCD8">
      <w:pPr>
        <w:keepNext w:val="0"/>
        <w:keepLines w:val="0"/>
        <w:pageBreakBefore w:val="0"/>
        <w:widowControl w:val="0"/>
        <w:numPr>
          <w:ilvl w:val="0"/>
          <w:numId w:val="0"/>
        </w:numPr>
        <w:kinsoku/>
        <w:wordWrap/>
        <w:overflowPunct/>
        <w:topLinePunct w:val="0"/>
        <w:bidi w:val="0"/>
        <w:snapToGrid/>
        <w:spacing w:line="520" w:lineRule="exact"/>
        <w:ind w:left="640" w:lef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视频素材格式</w:t>
      </w:r>
    </w:p>
    <w:p w14:paraId="4F1084D1">
      <w:pPr>
        <w:keepNext w:val="0"/>
        <w:keepLines w:val="0"/>
        <w:pageBreakBefore w:val="0"/>
        <w:widowControl w:val="0"/>
        <w:numPr>
          <w:ilvl w:val="0"/>
          <w:numId w:val="0"/>
        </w:numPr>
        <w:kinsoku/>
        <w:wordWrap/>
        <w:overflowPunct/>
        <w:topLinePunct w:val="0"/>
        <w:bidi w:val="0"/>
        <w:snapToGrid/>
        <w:spacing w:line="520" w:lineRule="exact"/>
        <w:ind w:left="640" w:leftChars="0"/>
        <w:textAlignment w:val="auto"/>
        <w:rPr>
          <w:rFonts w:hint="eastAsia" w:ascii="宋体" w:hAnsi="宋体" w:eastAsia="宋体" w:cs="宋体"/>
          <w:color w:val="auto"/>
          <w:sz w:val="28"/>
          <w:szCs w:val="28"/>
        </w:rPr>
      </w:pPr>
    </w:p>
    <w:tbl>
      <w:tblPr>
        <w:tblStyle w:val="22"/>
        <w:tblW w:w="6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3906"/>
      </w:tblGrid>
      <w:tr w14:paraId="1912B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840" w:type="dxa"/>
            <w:vAlign w:val="center"/>
          </w:tcPr>
          <w:p w14:paraId="706E1028">
            <w:pPr>
              <w:keepNext w:val="0"/>
              <w:keepLines w:val="0"/>
              <w:pageBreakBefore w:val="0"/>
              <w:widowControl w:val="0"/>
              <w:kinsoku/>
              <w:wordWrap/>
              <w:overflowPunct/>
              <w:topLinePunct w:val="0"/>
              <w:autoSpaceDE w:val="0"/>
              <w:autoSpaceDN w:val="0"/>
              <w:bidi w:val="0"/>
              <w:adjustRightInd w:val="0"/>
              <w:snapToGrid/>
              <w:spacing w:line="520" w:lineRule="exact"/>
              <w:ind w:firstLine="562"/>
              <w:jc w:val="center"/>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项目类型</w:t>
            </w:r>
          </w:p>
        </w:tc>
        <w:tc>
          <w:tcPr>
            <w:tcW w:w="3906" w:type="dxa"/>
            <w:vAlign w:val="center"/>
          </w:tcPr>
          <w:p w14:paraId="57BEF944">
            <w:pPr>
              <w:keepNext w:val="0"/>
              <w:keepLines w:val="0"/>
              <w:pageBreakBefore w:val="0"/>
              <w:widowControl w:val="0"/>
              <w:kinsoku/>
              <w:wordWrap/>
              <w:overflowPunct/>
              <w:topLinePunct w:val="0"/>
              <w:autoSpaceDE w:val="0"/>
              <w:autoSpaceDN w:val="0"/>
              <w:bidi w:val="0"/>
              <w:adjustRightInd w:val="0"/>
              <w:snapToGrid/>
              <w:spacing w:line="520" w:lineRule="exact"/>
              <w:ind w:firstLine="562"/>
              <w:jc w:val="center"/>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高清</w:t>
            </w:r>
          </w:p>
        </w:tc>
      </w:tr>
      <w:tr w14:paraId="2100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14:paraId="438DE415">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分辨率</w:t>
            </w:r>
          </w:p>
        </w:tc>
        <w:tc>
          <w:tcPr>
            <w:tcW w:w="3906" w:type="dxa"/>
            <w:vAlign w:val="center"/>
          </w:tcPr>
          <w:p w14:paraId="413E482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1920×1080  16:9</w:t>
            </w:r>
          </w:p>
        </w:tc>
      </w:tr>
      <w:tr w14:paraId="7F93C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4DB736C8">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格式</w:t>
            </w:r>
          </w:p>
        </w:tc>
        <w:tc>
          <w:tcPr>
            <w:tcW w:w="3906" w:type="dxa"/>
            <w:tcBorders>
              <w:top w:val="single" w:color="000000" w:sz="4" w:space="0"/>
              <w:left w:val="single" w:color="000000" w:sz="4" w:space="0"/>
              <w:bottom w:val="single" w:color="000000" w:sz="4" w:space="0"/>
              <w:right w:val="single" w:color="000000" w:sz="4" w:space="0"/>
            </w:tcBorders>
            <w:vAlign w:val="center"/>
          </w:tcPr>
          <w:p w14:paraId="10D50C6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mp4</w:t>
            </w:r>
          </w:p>
        </w:tc>
      </w:tr>
      <w:tr w14:paraId="0708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4C4B291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码流</w:t>
            </w:r>
          </w:p>
        </w:tc>
        <w:tc>
          <w:tcPr>
            <w:tcW w:w="3906" w:type="dxa"/>
            <w:tcBorders>
              <w:top w:val="single" w:color="000000" w:sz="4" w:space="0"/>
              <w:left w:val="single" w:color="000000" w:sz="4" w:space="0"/>
              <w:bottom w:val="single" w:color="000000" w:sz="4" w:space="0"/>
              <w:right w:val="single" w:color="000000" w:sz="4" w:space="0"/>
            </w:tcBorders>
            <w:vAlign w:val="center"/>
          </w:tcPr>
          <w:p w14:paraId="4AEA56E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不低于8M</w:t>
            </w:r>
          </w:p>
        </w:tc>
      </w:tr>
      <w:tr w14:paraId="2B63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840" w:type="dxa"/>
            <w:vAlign w:val="center"/>
          </w:tcPr>
          <w:p w14:paraId="6D2D2EC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声道数</w:t>
            </w:r>
          </w:p>
        </w:tc>
        <w:tc>
          <w:tcPr>
            <w:tcW w:w="3906" w:type="dxa"/>
            <w:vAlign w:val="center"/>
          </w:tcPr>
          <w:p w14:paraId="489B8F1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双声道</w:t>
            </w:r>
          </w:p>
        </w:tc>
      </w:tr>
    </w:tbl>
    <w:p w14:paraId="42952474">
      <w:pPr>
        <w:pStyle w:val="43"/>
        <w:keepNext w:val="0"/>
        <w:keepLines w:val="0"/>
        <w:pageBreakBefore w:val="0"/>
        <w:numPr>
          <w:ilvl w:val="0"/>
          <w:numId w:val="0"/>
        </w:numPr>
        <w:tabs>
          <w:tab w:val="left" w:pos="8400"/>
        </w:tabs>
        <w:kinsoku/>
        <w:wordWrap/>
        <w:overflowPunct/>
        <w:topLinePunct w:val="0"/>
        <w:autoSpaceDE/>
        <w:autoSpaceDN/>
        <w:bidi w:val="0"/>
        <w:snapToGrid/>
        <w:spacing w:before="149" w:beforeAutospacing="0" w:after="0" w:afterAutospacing="0" w:line="288" w:lineRule="auto"/>
        <w:ind w:right="0" w:rightChars="0"/>
        <w:jc w:val="both"/>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说明：为较好的完成上述视频素材制作，可使用航拍，多角度呈现校园建设情况；</w:t>
      </w:r>
    </w:p>
    <w:p w14:paraId="32419039">
      <w:pPr>
        <w:widowControl/>
        <w:spacing w:before="324" w:beforeLines="100" w:after="324" w:afterLines="100" w:line="600" w:lineRule="exact"/>
        <w:jc w:val="both"/>
        <w:textAlignment w:val="baseline"/>
        <w:outlineLvl w:val="0"/>
        <w:rPr>
          <w:rFonts w:hint="eastAsia" w:ascii="宋体" w:hAnsi="宋体" w:eastAsia="宋体" w:cs="宋体"/>
          <w:b/>
          <w:color w:val="auto"/>
          <w:sz w:val="28"/>
          <w:szCs w:val="28"/>
          <w:lang w:val="en-US" w:eastAsia="zh-CN"/>
        </w:rPr>
      </w:pPr>
      <w:bookmarkStart w:id="82" w:name="_Toc9016"/>
      <w:r>
        <w:rPr>
          <w:rFonts w:hint="eastAsia" w:ascii="宋体" w:hAnsi="宋体" w:eastAsia="宋体" w:cs="宋体"/>
          <w:b/>
          <w:color w:val="auto"/>
          <w:sz w:val="28"/>
          <w:szCs w:val="28"/>
          <w:lang w:val="en-US" w:eastAsia="zh-CN"/>
        </w:rPr>
        <w:t>合同履行期限：合同签订之日起至2024年10月10日完成本项目所有内容。</w:t>
      </w:r>
      <w:bookmarkEnd w:id="82"/>
    </w:p>
    <w:p w14:paraId="6E092808">
      <w:pPr>
        <w:widowControl/>
        <w:spacing w:before="324" w:beforeLines="100" w:after="324" w:afterLines="100" w:line="600" w:lineRule="exact"/>
        <w:ind w:left="363"/>
        <w:jc w:val="center"/>
        <w:textAlignment w:val="baseline"/>
        <w:outlineLvl w:val="9"/>
        <w:rPr>
          <w:rFonts w:hint="eastAsia" w:ascii="宋体"/>
          <w:b/>
          <w:color w:val="auto"/>
          <w:sz w:val="44"/>
          <w:szCs w:val="44"/>
        </w:rPr>
      </w:pPr>
    </w:p>
    <w:p w14:paraId="55620724">
      <w:pPr>
        <w:widowControl/>
        <w:spacing w:before="324" w:beforeLines="100" w:after="324" w:afterLines="100" w:line="600" w:lineRule="exact"/>
        <w:ind w:left="363"/>
        <w:jc w:val="center"/>
        <w:textAlignment w:val="baseline"/>
        <w:outlineLvl w:val="9"/>
        <w:rPr>
          <w:rFonts w:hint="eastAsia" w:ascii="宋体"/>
          <w:b/>
          <w:color w:val="auto"/>
          <w:sz w:val="44"/>
          <w:szCs w:val="44"/>
        </w:rPr>
      </w:pPr>
    </w:p>
    <w:p w14:paraId="536E60FB">
      <w:pPr>
        <w:pStyle w:val="2"/>
        <w:rPr>
          <w:rFonts w:hint="eastAsia"/>
        </w:rPr>
      </w:pPr>
    </w:p>
    <w:p w14:paraId="5651DF75">
      <w:pPr>
        <w:pageBreakBefore/>
        <w:spacing w:before="162" w:beforeLines="50" w:after="162" w:afterLines="50" w:line="440" w:lineRule="exact"/>
        <w:ind w:firstLine="2891" w:firstLineChars="900"/>
        <w:jc w:val="both"/>
        <w:outlineLvl w:val="0"/>
        <w:rPr>
          <w:rFonts w:hint="eastAsia" w:ascii="宋体" w:hAnsi="宋体" w:eastAsia="宋体" w:cs="宋体"/>
          <w:b/>
          <w:bCs/>
          <w:color w:val="auto"/>
          <w:sz w:val="32"/>
          <w:szCs w:val="32"/>
          <w:lang w:val="en-US" w:eastAsia="zh-CN"/>
        </w:rPr>
      </w:pPr>
      <w:bookmarkStart w:id="83" w:name="_Toc16939"/>
      <w:r>
        <w:rPr>
          <w:rFonts w:hint="eastAsia" w:ascii="宋体" w:hAnsi="宋体" w:eastAsia="宋体" w:cs="宋体"/>
          <w:b/>
          <w:bCs/>
          <w:color w:val="auto"/>
          <w:sz w:val="32"/>
          <w:szCs w:val="32"/>
          <w:lang w:val="en-US" w:eastAsia="zh-CN"/>
        </w:rPr>
        <w:t>第五章  合同条款及格式</w:t>
      </w:r>
      <w:bookmarkEnd w:id="83"/>
    </w:p>
    <w:p w14:paraId="11099AAD">
      <w:pPr>
        <w:widowControl/>
        <w:spacing w:line="400" w:lineRule="exact"/>
        <w:ind w:left="360"/>
        <w:jc w:val="center"/>
        <w:textAlignment w:val="baseline"/>
        <w:outlineLvl w:val="1"/>
        <w:rPr>
          <w:rFonts w:ascii="黑体" w:eastAsia="黑体"/>
          <w:b/>
          <w:color w:val="auto"/>
          <w:sz w:val="30"/>
          <w:szCs w:val="30"/>
        </w:rPr>
      </w:pPr>
      <w:r>
        <w:rPr>
          <w:rFonts w:hint="eastAsia" w:ascii="宋体"/>
          <w:b/>
          <w:color w:val="auto"/>
          <w:sz w:val="30"/>
          <w:szCs w:val="30"/>
        </w:rPr>
        <w:t>一</w:t>
      </w:r>
      <w:bookmarkStart w:id="84" w:name="_Toc449028946"/>
      <w:r>
        <w:rPr>
          <w:rFonts w:hint="eastAsia" w:ascii="宋体"/>
          <w:b/>
          <w:color w:val="auto"/>
          <w:sz w:val="30"/>
          <w:szCs w:val="30"/>
        </w:rPr>
        <w:t>、合同协议书（格式）</w:t>
      </w:r>
      <w:bookmarkEnd w:id="84"/>
    </w:p>
    <w:p w14:paraId="3322ECB0">
      <w:pPr>
        <w:spacing w:before="120" w:line="480" w:lineRule="auto"/>
        <w:ind w:left="960"/>
        <w:rPr>
          <w:rFonts w:ascii="宋体" w:hAnsi="宋体"/>
          <w:color w:val="auto"/>
          <w:sz w:val="24"/>
        </w:rPr>
      </w:pPr>
    </w:p>
    <w:p w14:paraId="313A4629">
      <w:pPr>
        <w:spacing w:before="120" w:line="480" w:lineRule="auto"/>
        <w:ind w:left="960"/>
        <w:rPr>
          <w:rFonts w:ascii="宋体" w:hAnsi="宋体"/>
          <w:color w:val="auto"/>
          <w:sz w:val="24"/>
        </w:rPr>
      </w:pPr>
    </w:p>
    <w:p w14:paraId="0E3DDACA">
      <w:pPr>
        <w:spacing w:before="120" w:line="480" w:lineRule="auto"/>
        <w:ind w:left="960"/>
        <w:rPr>
          <w:rFonts w:ascii="宋体" w:hAnsi="宋体"/>
          <w:color w:val="auto"/>
          <w:sz w:val="24"/>
        </w:rPr>
      </w:pPr>
    </w:p>
    <w:p w14:paraId="7520C871">
      <w:pPr>
        <w:spacing w:before="120" w:line="480" w:lineRule="auto"/>
        <w:ind w:left="960"/>
        <w:rPr>
          <w:rFonts w:ascii="宋体" w:hAnsi="宋体"/>
          <w:color w:val="auto"/>
          <w:sz w:val="24"/>
        </w:rPr>
      </w:pPr>
    </w:p>
    <w:p w14:paraId="03997737">
      <w:pPr>
        <w:spacing w:before="120" w:line="480" w:lineRule="auto"/>
        <w:ind w:left="960"/>
        <w:rPr>
          <w:rFonts w:ascii="宋体" w:hAnsi="宋体"/>
          <w:color w:val="auto"/>
          <w:sz w:val="24"/>
        </w:rPr>
      </w:pPr>
    </w:p>
    <w:p w14:paraId="63A572E6">
      <w:pPr>
        <w:spacing w:before="120" w:line="480" w:lineRule="auto"/>
        <w:ind w:firstLine="840" w:firstLineChars="400"/>
        <w:rPr>
          <w:rFonts w:ascii="宋体" w:hAnsi="宋体"/>
          <w:color w:val="auto"/>
          <w:szCs w:val="21"/>
        </w:rPr>
      </w:pPr>
      <w:r>
        <w:rPr>
          <w:rFonts w:hint="eastAsia" w:ascii="宋体" w:hAnsi="宋体"/>
          <w:color w:val="auto"/>
          <w:szCs w:val="21"/>
        </w:rPr>
        <w:t xml:space="preserve">项目名称：    </w:t>
      </w:r>
    </w:p>
    <w:p w14:paraId="39811F27">
      <w:pPr>
        <w:spacing w:before="120" w:line="480" w:lineRule="auto"/>
        <w:ind w:firstLine="840" w:firstLineChars="400"/>
        <w:rPr>
          <w:rFonts w:ascii="宋体" w:hAnsi="宋体"/>
          <w:color w:val="auto"/>
          <w:szCs w:val="21"/>
        </w:rPr>
      </w:pPr>
      <w:r>
        <w:rPr>
          <w:rFonts w:hint="eastAsia" w:ascii="宋体" w:hAnsi="宋体"/>
          <w:color w:val="auto"/>
          <w:szCs w:val="21"/>
        </w:rPr>
        <w:t>项目编号：</w:t>
      </w:r>
    </w:p>
    <w:p w14:paraId="3ED57C98">
      <w:pPr>
        <w:spacing w:before="120" w:line="480" w:lineRule="auto"/>
        <w:ind w:firstLine="840" w:firstLineChars="400"/>
        <w:rPr>
          <w:rFonts w:ascii="宋体" w:hAnsi="宋体"/>
          <w:color w:val="auto"/>
          <w:szCs w:val="21"/>
          <w:u w:val="single"/>
        </w:rPr>
      </w:pPr>
      <w:r>
        <w:rPr>
          <w:rFonts w:hint="eastAsia" w:ascii="宋体" w:hAnsi="宋体"/>
          <w:color w:val="auto"/>
          <w:szCs w:val="21"/>
        </w:rPr>
        <w:t>甲方（采购人）：</w:t>
      </w:r>
      <w:r>
        <w:rPr>
          <w:rFonts w:hint="eastAsia" w:ascii="宋体" w:hAnsi="宋体"/>
          <w:color w:val="auto"/>
          <w:szCs w:val="21"/>
          <w:u w:val="single"/>
        </w:rPr>
        <w:t xml:space="preserve">                              </w:t>
      </w:r>
    </w:p>
    <w:p w14:paraId="1120F975">
      <w:pPr>
        <w:spacing w:before="120" w:line="480" w:lineRule="auto"/>
        <w:ind w:firstLine="840" w:firstLineChars="400"/>
        <w:rPr>
          <w:rFonts w:ascii="宋体" w:hAnsi="宋体"/>
          <w:color w:val="auto"/>
          <w:szCs w:val="21"/>
          <w:u w:val="single"/>
        </w:rPr>
      </w:pPr>
      <w:r>
        <w:rPr>
          <w:rFonts w:hint="eastAsia" w:ascii="宋体" w:hAnsi="宋体"/>
          <w:color w:val="auto"/>
          <w:szCs w:val="21"/>
        </w:rPr>
        <w:t>乙方（中标人）：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7E7F996">
      <w:pPr>
        <w:spacing w:before="120" w:line="480" w:lineRule="auto"/>
        <w:ind w:firstLine="840" w:firstLineChars="400"/>
        <w:rPr>
          <w:rFonts w:ascii="宋体" w:hAnsi="宋体"/>
          <w:color w:val="auto"/>
          <w:szCs w:val="21"/>
          <w:u w:val="single"/>
        </w:rPr>
      </w:pPr>
      <w:r>
        <w:rPr>
          <w:rFonts w:hint="eastAsia" w:ascii="宋体" w:hAnsi="宋体"/>
          <w:color w:val="auto"/>
          <w:szCs w:val="21"/>
        </w:rPr>
        <w:t>签订地：</w:t>
      </w:r>
      <w:r>
        <w:rPr>
          <w:rFonts w:hint="eastAsia" w:ascii="宋体" w:hAnsi="宋体"/>
          <w:color w:val="auto"/>
          <w:szCs w:val="21"/>
          <w:u w:val="single"/>
        </w:rPr>
        <w:t xml:space="preserve">                                     </w:t>
      </w:r>
    </w:p>
    <w:p w14:paraId="5271B070">
      <w:pPr>
        <w:spacing w:before="120" w:line="480" w:lineRule="auto"/>
        <w:ind w:firstLine="840" w:firstLineChars="400"/>
        <w:rPr>
          <w:rFonts w:ascii="宋体" w:hAnsi="宋体"/>
          <w:color w:val="auto"/>
          <w:szCs w:val="21"/>
        </w:rPr>
      </w:pPr>
      <w:r>
        <w:rPr>
          <w:rFonts w:hint="eastAsia" w:ascii="宋体" w:hAnsi="宋体"/>
          <w:color w:val="auto"/>
          <w:szCs w:val="21"/>
        </w:rPr>
        <w:t>签订日期：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E1F374A">
      <w:pPr>
        <w:widowControl/>
        <w:jc w:val="left"/>
        <w:rPr>
          <w:rFonts w:ascii="宋体" w:hAnsi="宋体"/>
          <w:color w:val="auto"/>
          <w:szCs w:val="21"/>
        </w:rPr>
      </w:pPr>
      <w:r>
        <w:rPr>
          <w:rFonts w:ascii="宋体" w:hAnsi="宋体"/>
          <w:color w:val="auto"/>
          <w:szCs w:val="21"/>
        </w:rPr>
        <w:br w:type="page"/>
      </w:r>
    </w:p>
    <w:p w14:paraId="7A577536">
      <w:pPr>
        <w:spacing w:line="360" w:lineRule="auto"/>
        <w:ind w:firstLine="435"/>
        <w:rPr>
          <w:rFonts w:ascii="宋体" w:hAnsi="宋体"/>
          <w:color w:val="auto"/>
          <w:szCs w:val="21"/>
        </w:rPr>
      </w:pPr>
      <w:r>
        <w:rPr>
          <w:rFonts w:hint="eastAsia" w:ascii="宋体" w:hAnsi="宋体"/>
          <w:i/>
          <w:iCs/>
          <w:color w:val="auto"/>
          <w:szCs w:val="21"/>
          <w:u w:val="single"/>
        </w:rPr>
        <w:t>（采购人名称）</w:t>
      </w:r>
      <w:r>
        <w:rPr>
          <w:rFonts w:hint="eastAsia" w:ascii="宋体" w:hAnsi="宋体"/>
          <w:color w:val="auto"/>
          <w:szCs w:val="21"/>
        </w:rPr>
        <w:t>（</w:t>
      </w:r>
      <w:r>
        <w:rPr>
          <w:rFonts w:hint="eastAsia" w:ascii="宋体" w:hAnsi="宋体"/>
          <w:color w:val="auto"/>
          <w:szCs w:val="21"/>
          <w:lang w:val="zh-CN"/>
        </w:rPr>
        <w:t>以下简称：甲方</w:t>
      </w:r>
      <w:r>
        <w:rPr>
          <w:rFonts w:hint="eastAsia" w:ascii="宋体" w:hAnsi="宋体"/>
          <w:color w:val="auto"/>
          <w:szCs w:val="21"/>
        </w:rPr>
        <w:t>）通过公开招标，经评标委员会评定，确定</w:t>
      </w:r>
      <w:r>
        <w:rPr>
          <w:rFonts w:hint="eastAsia" w:ascii="宋体" w:hAnsi="宋体"/>
          <w:i/>
          <w:iCs/>
          <w:color w:val="auto"/>
          <w:szCs w:val="21"/>
          <w:u w:val="single"/>
        </w:rPr>
        <w:t>（中标人名称）</w:t>
      </w:r>
      <w:r>
        <w:rPr>
          <w:rFonts w:hint="eastAsia" w:ascii="宋体" w:hAnsi="宋体"/>
          <w:color w:val="auto"/>
          <w:szCs w:val="21"/>
        </w:rPr>
        <w:t>（</w:t>
      </w:r>
      <w:r>
        <w:rPr>
          <w:rFonts w:hint="eastAsia" w:ascii="宋体" w:hAnsi="宋体"/>
          <w:color w:val="auto"/>
          <w:szCs w:val="21"/>
          <w:lang w:val="zh-CN"/>
        </w:rPr>
        <w:t>以下简称：乙方</w:t>
      </w:r>
      <w:r>
        <w:rPr>
          <w:rFonts w:hint="eastAsia" w:ascii="宋体" w:hAnsi="宋体"/>
          <w:color w:val="auto"/>
          <w:szCs w:val="21"/>
        </w:rPr>
        <w:t>）为本项目中标人，现按照采购文件确定的事项签订本合同。</w:t>
      </w:r>
    </w:p>
    <w:p w14:paraId="065DD6E8">
      <w:pPr>
        <w:spacing w:line="360" w:lineRule="auto"/>
        <w:ind w:firstLine="435"/>
        <w:rPr>
          <w:rFonts w:ascii="宋体" w:hAnsi="宋体"/>
          <w:color w:val="auto"/>
          <w:szCs w:val="21"/>
          <w:lang w:val="zh-CN"/>
        </w:rPr>
      </w:pPr>
      <w:r>
        <w:rPr>
          <w:rFonts w:hint="eastAsia" w:ascii="宋体" w:hAnsi="宋体"/>
          <w:color w:val="auto"/>
          <w:szCs w:val="21"/>
        </w:rPr>
        <w:t>根据《中华人民共和国民法典》、《中华人民共和国政府采购法》等相关法律法规之规定，按照平等、自愿、公平和诚实信用的原则，经甲方和乙方协商一致，约定以下合同条款，以兹共同遵守、全面履行。</w:t>
      </w:r>
    </w:p>
    <w:p w14:paraId="2017F6E4">
      <w:pPr>
        <w:spacing w:line="360" w:lineRule="auto"/>
        <w:ind w:firstLine="437"/>
        <w:outlineLvl w:val="3"/>
        <w:rPr>
          <w:rFonts w:ascii="宋体" w:hAnsi="宋体"/>
          <w:b/>
          <w:bCs/>
          <w:color w:val="auto"/>
          <w:szCs w:val="21"/>
          <w:lang w:val="zh-CN"/>
        </w:rPr>
      </w:pPr>
      <w:bookmarkStart w:id="85" w:name="_Toc24059"/>
      <w:bookmarkStart w:id="86" w:name="_Toc2232"/>
      <w:bookmarkStart w:id="87" w:name="_Toc3029"/>
      <w:r>
        <w:rPr>
          <w:rFonts w:hint="eastAsia" w:ascii="宋体" w:hAnsi="宋体"/>
          <w:b/>
          <w:bCs/>
          <w:color w:val="auto"/>
          <w:szCs w:val="21"/>
          <w:lang w:val="zh-CN"/>
        </w:rPr>
        <w:t>1.1</w:t>
      </w:r>
      <w:r>
        <w:rPr>
          <w:rFonts w:ascii="宋体" w:hAnsi="宋体"/>
          <w:b/>
          <w:bCs/>
          <w:color w:val="auto"/>
          <w:szCs w:val="21"/>
          <w:lang w:val="zh-CN"/>
        </w:rPr>
        <w:t xml:space="preserve"> </w:t>
      </w:r>
      <w:r>
        <w:rPr>
          <w:rFonts w:hint="eastAsia" w:ascii="宋体" w:hAnsi="宋体"/>
          <w:b/>
          <w:bCs/>
          <w:color w:val="auto"/>
          <w:szCs w:val="21"/>
          <w:lang w:val="zh-CN"/>
        </w:rPr>
        <w:t>合同组成部分</w:t>
      </w:r>
      <w:bookmarkEnd w:id="85"/>
      <w:bookmarkEnd w:id="86"/>
      <w:bookmarkEnd w:id="87"/>
    </w:p>
    <w:p w14:paraId="61349B17">
      <w:pPr>
        <w:spacing w:line="360" w:lineRule="auto"/>
        <w:ind w:firstLine="435"/>
        <w:rPr>
          <w:rFonts w:ascii="宋体" w:hAnsi="宋体"/>
          <w:color w:val="auto"/>
          <w:szCs w:val="21"/>
          <w:lang w:val="zh-CN"/>
        </w:rPr>
      </w:pPr>
      <w:r>
        <w:rPr>
          <w:rFonts w:hint="eastAsia" w:ascii="宋体" w:hAnsi="宋体"/>
          <w:color w:val="auto"/>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3D3DA6">
      <w:pPr>
        <w:spacing w:line="360" w:lineRule="auto"/>
        <w:ind w:firstLine="435"/>
        <w:rPr>
          <w:rFonts w:ascii="宋体" w:hAnsi="宋体"/>
          <w:color w:val="auto"/>
          <w:szCs w:val="21"/>
          <w:lang w:val="zh-CN"/>
        </w:rPr>
      </w:pPr>
      <w:r>
        <w:rPr>
          <w:rFonts w:hint="eastAsia" w:ascii="宋体" w:hAnsi="宋体"/>
          <w:color w:val="auto"/>
          <w:szCs w:val="21"/>
          <w:lang w:val="zh-CN"/>
        </w:rPr>
        <w:t>1.1.1本合同及其补充合同、变更协议；</w:t>
      </w:r>
    </w:p>
    <w:p w14:paraId="50C7DF43">
      <w:pPr>
        <w:spacing w:line="360" w:lineRule="auto"/>
        <w:ind w:firstLine="435"/>
        <w:rPr>
          <w:rFonts w:ascii="宋体" w:hAnsi="宋体"/>
          <w:color w:val="auto"/>
          <w:szCs w:val="21"/>
          <w:lang w:val="zh-CN"/>
        </w:rPr>
      </w:pPr>
      <w:r>
        <w:rPr>
          <w:rFonts w:hint="eastAsia" w:ascii="宋体" w:hAnsi="宋体"/>
          <w:color w:val="auto"/>
          <w:szCs w:val="21"/>
          <w:lang w:val="zh-CN"/>
        </w:rPr>
        <w:t>1.1.2中标通知书；</w:t>
      </w:r>
    </w:p>
    <w:p w14:paraId="26569764">
      <w:pPr>
        <w:spacing w:line="360" w:lineRule="auto"/>
        <w:ind w:firstLine="435"/>
        <w:rPr>
          <w:rFonts w:ascii="宋体" w:hAnsi="宋体"/>
          <w:color w:val="auto"/>
          <w:szCs w:val="21"/>
          <w:lang w:val="zh-CN"/>
        </w:rPr>
      </w:pPr>
      <w:r>
        <w:rPr>
          <w:rFonts w:hint="eastAsia" w:ascii="宋体" w:hAnsi="宋体"/>
          <w:color w:val="auto"/>
          <w:szCs w:val="21"/>
          <w:lang w:val="zh-CN"/>
        </w:rPr>
        <w:t>1.1.3投标文件（含澄清或者说明文件）；</w:t>
      </w:r>
    </w:p>
    <w:p w14:paraId="1E6EABED">
      <w:pPr>
        <w:spacing w:line="360" w:lineRule="auto"/>
        <w:ind w:firstLine="435"/>
        <w:rPr>
          <w:rFonts w:ascii="宋体" w:hAnsi="宋体"/>
          <w:color w:val="auto"/>
          <w:szCs w:val="21"/>
          <w:lang w:val="zh-CN"/>
        </w:rPr>
      </w:pPr>
      <w:r>
        <w:rPr>
          <w:rFonts w:hint="eastAsia" w:ascii="宋体" w:hAnsi="宋体"/>
          <w:color w:val="auto"/>
          <w:szCs w:val="21"/>
          <w:lang w:val="zh-CN"/>
        </w:rPr>
        <w:t>1.1.4招标文件（含澄清或者修改文件）；</w:t>
      </w:r>
    </w:p>
    <w:p w14:paraId="453FFDF2">
      <w:pPr>
        <w:spacing w:line="360" w:lineRule="auto"/>
        <w:ind w:firstLine="435"/>
        <w:rPr>
          <w:rFonts w:ascii="宋体" w:hAnsi="宋体"/>
          <w:color w:val="auto"/>
          <w:szCs w:val="21"/>
          <w:lang w:val="zh-CN"/>
        </w:rPr>
      </w:pPr>
      <w:r>
        <w:rPr>
          <w:rFonts w:hint="eastAsia" w:ascii="宋体" w:hAnsi="宋体"/>
          <w:color w:val="auto"/>
          <w:szCs w:val="21"/>
          <w:lang w:val="zh-CN"/>
        </w:rPr>
        <w:t>1.1.5其他相关采购文件。</w:t>
      </w:r>
    </w:p>
    <w:p w14:paraId="7BA94D27">
      <w:pPr>
        <w:spacing w:line="360" w:lineRule="auto"/>
        <w:ind w:firstLine="437"/>
        <w:outlineLvl w:val="3"/>
        <w:rPr>
          <w:rFonts w:ascii="宋体" w:hAnsi="宋体"/>
          <w:b/>
          <w:bCs/>
          <w:color w:val="auto"/>
          <w:szCs w:val="21"/>
          <w:lang w:val="zh-CN"/>
        </w:rPr>
      </w:pPr>
      <w:bookmarkStart w:id="88" w:name="_Toc6311"/>
      <w:bookmarkStart w:id="89" w:name="_Toc18585"/>
      <w:bookmarkStart w:id="90" w:name="_Toc6773"/>
      <w:bookmarkStart w:id="91" w:name="_Toc22185"/>
      <w:bookmarkStart w:id="92" w:name="_Toc2918"/>
      <w:r>
        <w:rPr>
          <w:rFonts w:hint="eastAsia" w:ascii="宋体" w:hAnsi="宋体"/>
          <w:b/>
          <w:bCs/>
          <w:color w:val="auto"/>
          <w:szCs w:val="21"/>
          <w:lang w:val="zh-CN"/>
        </w:rPr>
        <w:t xml:space="preserve">1.2 </w:t>
      </w:r>
      <w:bookmarkEnd w:id="88"/>
      <w:bookmarkEnd w:id="89"/>
      <w:bookmarkEnd w:id="90"/>
      <w:bookmarkEnd w:id="91"/>
      <w:bookmarkEnd w:id="92"/>
      <w:r>
        <w:rPr>
          <w:rFonts w:hint="eastAsia" w:ascii="宋体" w:hAnsi="宋体"/>
          <w:b/>
          <w:bCs/>
          <w:color w:val="auto"/>
          <w:szCs w:val="21"/>
          <w:lang w:val="zh-CN"/>
        </w:rPr>
        <w:t>服务</w:t>
      </w:r>
    </w:p>
    <w:p w14:paraId="342DD201">
      <w:pPr>
        <w:spacing w:line="360" w:lineRule="auto"/>
        <w:ind w:firstLine="435"/>
        <w:rPr>
          <w:rFonts w:ascii="宋体" w:hAnsi="宋体"/>
          <w:color w:val="auto"/>
          <w:szCs w:val="21"/>
          <w:u w:val="single"/>
        </w:rPr>
      </w:pPr>
      <w:r>
        <w:rPr>
          <w:rFonts w:hint="eastAsia" w:ascii="宋体" w:hAnsi="宋体"/>
          <w:color w:val="auto"/>
          <w:szCs w:val="21"/>
        </w:rPr>
        <w:t>1.2.1服务</w:t>
      </w:r>
      <w:r>
        <w:rPr>
          <w:rFonts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w:t>
      </w:r>
    </w:p>
    <w:p w14:paraId="3B19DFBB">
      <w:pPr>
        <w:spacing w:line="360" w:lineRule="auto"/>
        <w:ind w:firstLine="435"/>
        <w:rPr>
          <w:rFonts w:ascii="宋体" w:hAnsi="宋体"/>
          <w:color w:val="auto"/>
          <w:szCs w:val="21"/>
          <w:u w:val="single"/>
        </w:rPr>
      </w:pPr>
      <w:r>
        <w:rPr>
          <w:rFonts w:hint="eastAsia" w:ascii="宋体" w:hAnsi="宋体"/>
          <w:color w:val="auto"/>
          <w:szCs w:val="21"/>
        </w:rPr>
        <w:t>1.2.2服务内容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14:paraId="1A1B2D1D">
      <w:pPr>
        <w:spacing w:line="360" w:lineRule="auto"/>
        <w:ind w:firstLine="435"/>
        <w:rPr>
          <w:rFonts w:ascii="宋体" w:hAnsi="宋体"/>
          <w:color w:val="auto"/>
          <w:szCs w:val="21"/>
        </w:rPr>
      </w:pPr>
      <w:r>
        <w:rPr>
          <w:rFonts w:hint="eastAsia" w:ascii="宋体" w:hAnsi="宋体"/>
          <w:color w:val="auto"/>
          <w:szCs w:val="21"/>
        </w:rPr>
        <w:t>1.2.3服务质量：</w:t>
      </w:r>
      <w:r>
        <w:rPr>
          <w:rFonts w:hint="eastAsia" w:ascii="宋体" w:hAnsi="宋体"/>
          <w:color w:val="auto"/>
          <w:szCs w:val="21"/>
          <w:u w:val="single"/>
        </w:rPr>
        <w:t xml:space="preserve">                                                </w:t>
      </w:r>
      <w:r>
        <w:rPr>
          <w:rFonts w:hint="eastAsia" w:ascii="宋体" w:hAnsi="宋体"/>
          <w:color w:val="auto"/>
          <w:szCs w:val="21"/>
        </w:rPr>
        <w:t>。</w:t>
      </w:r>
    </w:p>
    <w:p w14:paraId="0B51AE44">
      <w:pPr>
        <w:spacing w:line="360" w:lineRule="auto"/>
        <w:ind w:firstLine="437"/>
        <w:outlineLvl w:val="3"/>
        <w:rPr>
          <w:rFonts w:ascii="宋体" w:hAnsi="宋体"/>
          <w:b/>
          <w:bCs/>
          <w:color w:val="auto"/>
          <w:szCs w:val="21"/>
          <w:lang w:val="zh-CN"/>
        </w:rPr>
      </w:pPr>
      <w:bookmarkStart w:id="93" w:name="_Toc21551"/>
      <w:bookmarkStart w:id="94" w:name="_Toc21631"/>
      <w:bookmarkStart w:id="95" w:name="_Toc23292"/>
      <w:r>
        <w:rPr>
          <w:rFonts w:hint="eastAsia" w:ascii="宋体" w:hAnsi="宋体"/>
          <w:b/>
          <w:bCs/>
          <w:color w:val="auto"/>
          <w:szCs w:val="21"/>
          <w:lang w:val="zh-CN"/>
        </w:rPr>
        <w:t>1.</w:t>
      </w:r>
      <w:r>
        <w:rPr>
          <w:rFonts w:ascii="宋体" w:hAnsi="宋体"/>
          <w:b/>
          <w:bCs/>
          <w:color w:val="auto"/>
          <w:szCs w:val="21"/>
          <w:lang w:val="zh-CN"/>
        </w:rPr>
        <w:t xml:space="preserve">3 </w:t>
      </w:r>
      <w:r>
        <w:rPr>
          <w:rFonts w:hint="eastAsia" w:ascii="宋体" w:hAnsi="宋体"/>
          <w:b/>
          <w:bCs/>
          <w:color w:val="auto"/>
          <w:szCs w:val="21"/>
          <w:lang w:val="zh-CN"/>
        </w:rPr>
        <w:t>价款</w:t>
      </w:r>
      <w:bookmarkEnd w:id="93"/>
      <w:bookmarkEnd w:id="94"/>
      <w:bookmarkEnd w:id="95"/>
    </w:p>
    <w:p w14:paraId="7F870D7E">
      <w:pPr>
        <w:spacing w:line="360" w:lineRule="auto"/>
        <w:ind w:firstLine="435"/>
        <w:rPr>
          <w:rFonts w:ascii="宋体" w:hAnsi="宋体"/>
          <w:color w:val="auto"/>
          <w:szCs w:val="21"/>
        </w:rPr>
      </w:pPr>
      <w:r>
        <w:rPr>
          <w:rFonts w:ascii="宋体" w:hAnsi="宋体"/>
          <w:color w:val="auto"/>
          <w:szCs w:val="21"/>
        </w:rPr>
        <w:t>本合同总价为</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p>
    <w:p w14:paraId="025A0464">
      <w:pPr>
        <w:spacing w:line="360" w:lineRule="auto"/>
        <w:ind w:firstLine="435"/>
        <w:rPr>
          <w:rFonts w:ascii="宋体" w:hAnsi="宋体"/>
          <w:color w:val="auto"/>
          <w:szCs w:val="21"/>
          <w:u w:val="single"/>
        </w:rPr>
      </w:pPr>
      <w:r>
        <w:rPr>
          <w:rFonts w:ascii="宋体" w:hAnsi="宋体"/>
          <w:color w:val="auto"/>
          <w:szCs w:val="21"/>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023B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14:paraId="6C784951">
            <w:pPr>
              <w:jc w:val="center"/>
              <w:rPr>
                <w:rFonts w:ascii="宋体" w:hAnsi="宋体"/>
                <w:color w:val="auto"/>
                <w:szCs w:val="21"/>
                <w:lang w:val="zh-CN"/>
              </w:rPr>
            </w:pPr>
            <w:r>
              <w:rPr>
                <w:rFonts w:ascii="宋体" w:hAnsi="宋体"/>
                <w:color w:val="auto"/>
                <w:szCs w:val="21"/>
                <w:lang w:val="zh-CN"/>
              </w:rPr>
              <w:t>序号</w:t>
            </w:r>
          </w:p>
        </w:tc>
        <w:tc>
          <w:tcPr>
            <w:tcW w:w="4317" w:type="dxa"/>
            <w:vAlign w:val="center"/>
          </w:tcPr>
          <w:p w14:paraId="2156D182">
            <w:pPr>
              <w:ind w:firstLine="200"/>
              <w:jc w:val="center"/>
              <w:rPr>
                <w:rFonts w:ascii="宋体" w:hAnsi="宋体"/>
                <w:color w:val="auto"/>
                <w:szCs w:val="21"/>
              </w:rPr>
            </w:pPr>
            <w:r>
              <w:rPr>
                <w:rFonts w:hint="eastAsia" w:ascii="宋体" w:hAnsi="宋体"/>
                <w:color w:val="auto"/>
                <w:szCs w:val="21"/>
              </w:rPr>
              <w:t>分项名称</w:t>
            </w:r>
          </w:p>
        </w:tc>
        <w:tc>
          <w:tcPr>
            <w:tcW w:w="3237" w:type="dxa"/>
            <w:gridSpan w:val="2"/>
            <w:vAlign w:val="center"/>
          </w:tcPr>
          <w:p w14:paraId="65461764">
            <w:pPr>
              <w:jc w:val="center"/>
              <w:rPr>
                <w:rFonts w:ascii="宋体" w:hAnsi="宋体"/>
                <w:color w:val="auto"/>
                <w:szCs w:val="21"/>
              </w:rPr>
            </w:pPr>
            <w:r>
              <w:rPr>
                <w:rFonts w:ascii="宋体" w:hAnsi="宋体"/>
                <w:color w:val="auto"/>
                <w:szCs w:val="21"/>
              </w:rPr>
              <w:t>分项价格</w:t>
            </w:r>
          </w:p>
        </w:tc>
      </w:tr>
      <w:tr w14:paraId="693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12713450">
            <w:pPr>
              <w:jc w:val="center"/>
              <w:rPr>
                <w:rFonts w:ascii="宋体" w:hAnsi="宋体"/>
                <w:color w:val="auto"/>
                <w:szCs w:val="21"/>
                <w:lang w:val="zh-CN"/>
              </w:rPr>
            </w:pPr>
            <w:r>
              <w:rPr>
                <w:rFonts w:hint="eastAsia" w:ascii="宋体" w:hAnsi="宋体"/>
                <w:color w:val="auto"/>
                <w:szCs w:val="21"/>
                <w:lang w:val="zh-CN"/>
              </w:rPr>
              <w:t>1</w:t>
            </w:r>
          </w:p>
        </w:tc>
        <w:tc>
          <w:tcPr>
            <w:tcW w:w="4317" w:type="dxa"/>
            <w:vAlign w:val="center"/>
          </w:tcPr>
          <w:p w14:paraId="7E1B53AC">
            <w:pPr>
              <w:ind w:firstLine="200"/>
              <w:jc w:val="center"/>
              <w:rPr>
                <w:rFonts w:ascii="宋体" w:hAnsi="宋体"/>
                <w:color w:val="auto"/>
                <w:szCs w:val="21"/>
              </w:rPr>
            </w:pPr>
          </w:p>
        </w:tc>
        <w:tc>
          <w:tcPr>
            <w:tcW w:w="3237" w:type="dxa"/>
            <w:gridSpan w:val="2"/>
            <w:vAlign w:val="center"/>
          </w:tcPr>
          <w:p w14:paraId="06B97BF5">
            <w:pPr>
              <w:ind w:firstLine="200"/>
              <w:jc w:val="center"/>
              <w:rPr>
                <w:rFonts w:ascii="宋体" w:hAnsi="宋体"/>
                <w:color w:val="auto"/>
                <w:szCs w:val="21"/>
              </w:rPr>
            </w:pPr>
          </w:p>
        </w:tc>
      </w:tr>
      <w:tr w14:paraId="7D38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29821896">
            <w:pPr>
              <w:jc w:val="center"/>
              <w:rPr>
                <w:rFonts w:ascii="宋体" w:hAnsi="宋体"/>
                <w:color w:val="auto"/>
                <w:szCs w:val="21"/>
                <w:lang w:val="zh-CN"/>
              </w:rPr>
            </w:pPr>
            <w:r>
              <w:rPr>
                <w:rFonts w:hint="eastAsia" w:ascii="宋体" w:hAnsi="宋体"/>
                <w:color w:val="auto"/>
                <w:szCs w:val="21"/>
                <w:lang w:val="zh-CN"/>
              </w:rPr>
              <w:t>2</w:t>
            </w:r>
          </w:p>
        </w:tc>
        <w:tc>
          <w:tcPr>
            <w:tcW w:w="4317" w:type="dxa"/>
            <w:vAlign w:val="center"/>
          </w:tcPr>
          <w:p w14:paraId="3410824A">
            <w:pPr>
              <w:ind w:firstLine="200"/>
              <w:jc w:val="center"/>
              <w:rPr>
                <w:rFonts w:ascii="宋体" w:hAnsi="宋体"/>
                <w:color w:val="auto"/>
                <w:szCs w:val="21"/>
              </w:rPr>
            </w:pPr>
          </w:p>
        </w:tc>
        <w:tc>
          <w:tcPr>
            <w:tcW w:w="3237" w:type="dxa"/>
            <w:gridSpan w:val="2"/>
            <w:vAlign w:val="center"/>
          </w:tcPr>
          <w:p w14:paraId="50F4E172">
            <w:pPr>
              <w:ind w:firstLine="200"/>
              <w:jc w:val="center"/>
              <w:rPr>
                <w:rFonts w:ascii="宋体" w:hAnsi="宋体"/>
                <w:color w:val="auto"/>
                <w:szCs w:val="21"/>
              </w:rPr>
            </w:pPr>
          </w:p>
        </w:tc>
      </w:tr>
      <w:tr w14:paraId="4217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7F1A057B">
            <w:pPr>
              <w:jc w:val="center"/>
              <w:rPr>
                <w:rFonts w:ascii="宋体" w:hAnsi="宋体"/>
                <w:color w:val="auto"/>
                <w:szCs w:val="21"/>
                <w:lang w:val="zh-CN"/>
              </w:rPr>
            </w:pPr>
            <w:r>
              <w:rPr>
                <w:rFonts w:ascii="宋体" w:hAnsi="宋体"/>
                <w:color w:val="auto"/>
                <w:szCs w:val="21"/>
                <w:lang w:val="zh-CN"/>
              </w:rPr>
              <w:t>3</w:t>
            </w:r>
          </w:p>
        </w:tc>
        <w:tc>
          <w:tcPr>
            <w:tcW w:w="4317" w:type="dxa"/>
            <w:vAlign w:val="center"/>
          </w:tcPr>
          <w:p w14:paraId="1D17A763">
            <w:pPr>
              <w:ind w:firstLine="200"/>
              <w:jc w:val="center"/>
              <w:rPr>
                <w:rFonts w:ascii="宋体" w:hAnsi="宋体"/>
                <w:color w:val="auto"/>
                <w:szCs w:val="21"/>
              </w:rPr>
            </w:pPr>
          </w:p>
        </w:tc>
        <w:tc>
          <w:tcPr>
            <w:tcW w:w="3237" w:type="dxa"/>
            <w:gridSpan w:val="2"/>
            <w:vAlign w:val="center"/>
          </w:tcPr>
          <w:p w14:paraId="74F40095">
            <w:pPr>
              <w:ind w:firstLine="200"/>
              <w:jc w:val="center"/>
              <w:rPr>
                <w:rFonts w:ascii="宋体" w:hAnsi="宋体"/>
                <w:color w:val="auto"/>
                <w:szCs w:val="21"/>
              </w:rPr>
            </w:pPr>
          </w:p>
        </w:tc>
      </w:tr>
      <w:tr w14:paraId="179F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469A016A">
            <w:pPr>
              <w:jc w:val="center"/>
              <w:rPr>
                <w:rFonts w:ascii="宋体" w:hAnsi="宋体"/>
                <w:color w:val="auto"/>
                <w:szCs w:val="21"/>
                <w:lang w:val="zh-CN"/>
              </w:rPr>
            </w:pPr>
            <w:r>
              <w:rPr>
                <w:rFonts w:hint="eastAsia" w:ascii="宋体" w:hAnsi="宋体"/>
                <w:color w:val="auto"/>
                <w:szCs w:val="21"/>
                <w:lang w:val="zh-CN"/>
              </w:rPr>
              <w:t>……</w:t>
            </w:r>
          </w:p>
        </w:tc>
        <w:tc>
          <w:tcPr>
            <w:tcW w:w="4317" w:type="dxa"/>
            <w:vAlign w:val="center"/>
          </w:tcPr>
          <w:p w14:paraId="3F7DEE01">
            <w:pPr>
              <w:ind w:firstLine="200"/>
              <w:jc w:val="center"/>
              <w:rPr>
                <w:rFonts w:ascii="宋体" w:hAnsi="宋体"/>
                <w:color w:val="auto"/>
                <w:szCs w:val="21"/>
              </w:rPr>
            </w:pPr>
          </w:p>
        </w:tc>
        <w:tc>
          <w:tcPr>
            <w:tcW w:w="3237" w:type="dxa"/>
            <w:gridSpan w:val="2"/>
            <w:vAlign w:val="center"/>
          </w:tcPr>
          <w:p w14:paraId="42F474E6">
            <w:pPr>
              <w:ind w:firstLine="200"/>
              <w:jc w:val="center"/>
              <w:rPr>
                <w:rFonts w:ascii="宋体" w:hAnsi="宋体"/>
                <w:color w:val="auto"/>
                <w:szCs w:val="21"/>
              </w:rPr>
            </w:pPr>
          </w:p>
        </w:tc>
      </w:tr>
      <w:tr w14:paraId="1A36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5753036E">
            <w:pPr>
              <w:ind w:firstLine="200"/>
              <w:jc w:val="center"/>
              <w:rPr>
                <w:rFonts w:ascii="宋体" w:hAnsi="宋体"/>
                <w:color w:val="auto"/>
                <w:szCs w:val="21"/>
              </w:rPr>
            </w:pPr>
            <w:r>
              <w:rPr>
                <w:rFonts w:hint="eastAsia" w:ascii="宋体" w:hAnsi="宋体"/>
                <w:color w:val="auto"/>
                <w:szCs w:val="21"/>
              </w:rPr>
              <w:t>总价</w:t>
            </w:r>
          </w:p>
        </w:tc>
        <w:tc>
          <w:tcPr>
            <w:tcW w:w="3237" w:type="dxa"/>
            <w:gridSpan w:val="2"/>
            <w:vAlign w:val="center"/>
          </w:tcPr>
          <w:p w14:paraId="6EE9D4AE">
            <w:pPr>
              <w:ind w:firstLine="200"/>
              <w:jc w:val="center"/>
              <w:rPr>
                <w:rFonts w:ascii="宋体" w:hAnsi="宋体"/>
                <w:color w:val="auto"/>
                <w:szCs w:val="21"/>
              </w:rPr>
            </w:pPr>
          </w:p>
        </w:tc>
      </w:tr>
    </w:tbl>
    <w:p w14:paraId="66992BD3">
      <w:pPr>
        <w:spacing w:line="360" w:lineRule="auto"/>
        <w:ind w:firstLine="437"/>
        <w:outlineLvl w:val="3"/>
        <w:rPr>
          <w:rFonts w:ascii="宋体" w:hAnsi="宋体"/>
          <w:b/>
          <w:bCs/>
          <w:color w:val="auto"/>
          <w:szCs w:val="21"/>
          <w:lang w:val="zh-CN"/>
        </w:rPr>
      </w:pPr>
      <w:bookmarkStart w:id="96" w:name="_Toc1814"/>
      <w:bookmarkStart w:id="97" w:name="_Toc22618"/>
      <w:bookmarkStart w:id="98" w:name="_Toc10340"/>
      <w:r>
        <w:rPr>
          <w:rFonts w:hint="eastAsia" w:ascii="宋体" w:hAnsi="宋体"/>
          <w:b/>
          <w:bCs/>
          <w:color w:val="auto"/>
          <w:szCs w:val="21"/>
          <w:lang w:val="zh-CN"/>
        </w:rPr>
        <w:t>1.</w:t>
      </w:r>
      <w:r>
        <w:rPr>
          <w:rFonts w:ascii="宋体" w:hAnsi="宋体"/>
          <w:b/>
          <w:bCs/>
          <w:color w:val="auto"/>
          <w:szCs w:val="21"/>
          <w:lang w:val="zh-CN"/>
        </w:rPr>
        <w:t>4 付款方式和发票开具方式</w:t>
      </w:r>
      <w:bookmarkEnd w:id="96"/>
      <w:bookmarkEnd w:id="97"/>
      <w:bookmarkEnd w:id="98"/>
    </w:p>
    <w:p w14:paraId="760CBC38">
      <w:pPr>
        <w:spacing w:line="360" w:lineRule="auto"/>
        <w:ind w:firstLine="437"/>
        <w:outlineLvl w:val="3"/>
        <w:rPr>
          <w:rFonts w:ascii="宋体" w:hAnsi="宋体"/>
          <w:color w:val="auto"/>
          <w:szCs w:val="21"/>
          <w:u w:val="single"/>
        </w:rPr>
      </w:pPr>
      <w:r>
        <w:rPr>
          <w:rFonts w:hint="eastAsia" w:ascii="宋体" w:hAnsi="宋体"/>
          <w:color w:val="auto"/>
          <w:szCs w:val="21"/>
        </w:rPr>
        <w:t>1.4.1</w:t>
      </w:r>
      <w:r>
        <w:rPr>
          <w:rFonts w:ascii="宋体" w:hAnsi="宋体"/>
          <w:color w:val="auto"/>
          <w:szCs w:val="21"/>
        </w:rPr>
        <w:t>付款方式：</w:t>
      </w:r>
      <w:r>
        <w:rPr>
          <w:rFonts w:hint="eastAsia" w:ascii="宋体" w:hAnsi="宋体" w:cs="宋体"/>
          <w:b/>
          <w:bCs/>
          <w:color w:val="auto"/>
          <w:szCs w:val="21"/>
          <w:u w:val="single"/>
          <w:lang w:val="en-US" w:eastAsia="zh-CN"/>
        </w:rPr>
        <w:t xml:space="preserve">                                             </w:t>
      </w:r>
      <w:r>
        <w:rPr>
          <w:rFonts w:hint="eastAsia" w:ascii="宋体" w:hAnsi="宋体"/>
          <w:color w:val="auto"/>
          <w:szCs w:val="21"/>
          <w:u w:val="single"/>
        </w:rPr>
        <w:t>。</w:t>
      </w:r>
    </w:p>
    <w:p w14:paraId="3E2B221D">
      <w:pPr>
        <w:spacing w:line="360" w:lineRule="auto"/>
        <w:ind w:firstLine="435"/>
        <w:rPr>
          <w:rFonts w:ascii="宋体" w:hAnsi="宋体"/>
          <w:color w:val="auto"/>
          <w:szCs w:val="21"/>
        </w:rPr>
      </w:pPr>
      <w:r>
        <w:rPr>
          <w:rFonts w:hint="eastAsia" w:ascii="宋体" w:hAnsi="宋体"/>
          <w:color w:val="auto"/>
          <w:szCs w:val="21"/>
        </w:rPr>
        <w:t>1.4.2发票开具方式：</w:t>
      </w:r>
      <w:r>
        <w:rPr>
          <w:rFonts w:hint="eastAsia" w:ascii="宋体" w:hAnsi="宋体"/>
          <w:color w:val="auto"/>
          <w:szCs w:val="21"/>
          <w:u w:val="single"/>
        </w:rPr>
        <w:t xml:space="preserve">                                            </w:t>
      </w:r>
      <w:r>
        <w:rPr>
          <w:rFonts w:hint="eastAsia" w:ascii="宋体" w:hAnsi="宋体"/>
          <w:color w:val="auto"/>
          <w:szCs w:val="21"/>
        </w:rPr>
        <w:t>。</w:t>
      </w:r>
    </w:p>
    <w:p w14:paraId="3C448B1C">
      <w:pPr>
        <w:spacing w:line="360" w:lineRule="auto"/>
        <w:ind w:firstLine="437"/>
        <w:outlineLvl w:val="3"/>
        <w:rPr>
          <w:rFonts w:ascii="宋体" w:hAnsi="宋体"/>
          <w:b/>
          <w:bCs/>
          <w:color w:val="auto"/>
          <w:szCs w:val="21"/>
          <w:lang w:val="zh-CN"/>
        </w:rPr>
      </w:pPr>
      <w:bookmarkStart w:id="99" w:name="_Toc2846"/>
      <w:bookmarkStart w:id="100" w:name="_Toc19304"/>
      <w:bookmarkStart w:id="101" w:name="_Toc32071"/>
      <w:r>
        <w:rPr>
          <w:rFonts w:hint="eastAsia" w:ascii="宋体" w:hAnsi="宋体"/>
          <w:b/>
          <w:bCs/>
          <w:color w:val="auto"/>
          <w:szCs w:val="21"/>
          <w:lang w:val="zh-CN"/>
        </w:rPr>
        <w:t>1.</w:t>
      </w:r>
      <w:r>
        <w:rPr>
          <w:rFonts w:ascii="宋体" w:hAnsi="宋体"/>
          <w:b/>
          <w:bCs/>
          <w:color w:val="auto"/>
          <w:szCs w:val="21"/>
          <w:lang w:val="zh-CN"/>
        </w:rPr>
        <w:t xml:space="preserve">5 </w:t>
      </w:r>
      <w:r>
        <w:rPr>
          <w:rFonts w:hint="eastAsia" w:ascii="宋体" w:hAnsi="宋体"/>
          <w:b/>
          <w:bCs/>
          <w:color w:val="auto"/>
          <w:szCs w:val="21"/>
          <w:lang w:val="zh-CN"/>
        </w:rPr>
        <w:t>服务</w:t>
      </w:r>
      <w:r>
        <w:rPr>
          <w:rFonts w:ascii="宋体" w:hAnsi="宋体"/>
          <w:b/>
          <w:bCs/>
          <w:color w:val="auto"/>
          <w:szCs w:val="21"/>
          <w:lang w:val="zh-CN"/>
        </w:rPr>
        <w:t>期限</w:t>
      </w:r>
      <w:r>
        <w:rPr>
          <w:rFonts w:hint="eastAsia" w:ascii="宋体" w:hAnsi="宋体"/>
          <w:b/>
          <w:bCs/>
          <w:color w:val="auto"/>
          <w:szCs w:val="21"/>
          <w:lang w:val="zh-CN"/>
        </w:rPr>
        <w:t>、地点和方式</w:t>
      </w:r>
      <w:bookmarkEnd w:id="99"/>
      <w:bookmarkEnd w:id="100"/>
      <w:bookmarkEnd w:id="101"/>
    </w:p>
    <w:p w14:paraId="6A71C3DE">
      <w:pPr>
        <w:spacing w:line="360" w:lineRule="auto"/>
        <w:ind w:firstLine="435"/>
        <w:rPr>
          <w:rFonts w:ascii="宋体" w:hAnsi="宋体"/>
          <w:color w:val="auto"/>
          <w:szCs w:val="21"/>
          <w:u w:val="single"/>
        </w:rPr>
      </w:pPr>
      <w:r>
        <w:rPr>
          <w:rFonts w:hint="eastAsia" w:ascii="宋体" w:hAnsi="宋体"/>
          <w:color w:val="auto"/>
          <w:szCs w:val="21"/>
        </w:rPr>
        <w:t>1.5.1服务期限</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14:paraId="7CD74539">
      <w:pPr>
        <w:spacing w:line="360" w:lineRule="auto"/>
        <w:ind w:firstLine="435"/>
        <w:rPr>
          <w:rFonts w:ascii="宋体" w:hAnsi="宋体"/>
          <w:color w:val="auto"/>
          <w:szCs w:val="21"/>
        </w:rPr>
      </w:pPr>
      <w:r>
        <w:rPr>
          <w:rFonts w:hint="eastAsia" w:ascii="宋体" w:hAnsi="宋体"/>
          <w:color w:val="auto"/>
          <w:szCs w:val="21"/>
        </w:rPr>
        <w:t>1.5.2服务地点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14:paraId="5162EC09">
      <w:pPr>
        <w:spacing w:line="360" w:lineRule="auto"/>
        <w:ind w:firstLine="435"/>
        <w:rPr>
          <w:rFonts w:ascii="宋体" w:hAnsi="宋体"/>
          <w:color w:val="auto"/>
          <w:szCs w:val="21"/>
        </w:rPr>
      </w:pPr>
      <w:r>
        <w:rPr>
          <w:rFonts w:hint="eastAsia" w:ascii="宋体" w:hAnsi="宋体"/>
          <w:color w:val="auto"/>
          <w:szCs w:val="21"/>
        </w:rPr>
        <w:t>1.5.3服务方式：</w:t>
      </w:r>
      <w:r>
        <w:rPr>
          <w:rFonts w:hint="eastAsia" w:ascii="宋体" w:hAnsi="宋体"/>
          <w:color w:val="auto"/>
          <w:szCs w:val="21"/>
          <w:u w:val="single"/>
        </w:rPr>
        <w:t xml:space="preserve">                                                </w:t>
      </w:r>
      <w:r>
        <w:rPr>
          <w:rFonts w:hint="eastAsia" w:ascii="宋体" w:hAnsi="宋体"/>
          <w:color w:val="auto"/>
          <w:szCs w:val="21"/>
        </w:rPr>
        <w:t>。</w:t>
      </w:r>
    </w:p>
    <w:p w14:paraId="5FAA1F9E">
      <w:pPr>
        <w:spacing w:line="360" w:lineRule="auto"/>
        <w:ind w:firstLine="437"/>
        <w:outlineLvl w:val="3"/>
        <w:rPr>
          <w:rFonts w:ascii="宋体" w:hAnsi="宋体"/>
          <w:b/>
          <w:bCs/>
          <w:color w:val="auto"/>
          <w:szCs w:val="21"/>
          <w:lang w:val="zh-CN"/>
        </w:rPr>
      </w:pPr>
      <w:bookmarkStart w:id="102" w:name="_Toc21423"/>
      <w:bookmarkStart w:id="103" w:name="_Toc27250"/>
      <w:bookmarkStart w:id="104" w:name="_Toc19554"/>
      <w:r>
        <w:rPr>
          <w:rFonts w:hint="eastAsia" w:ascii="宋体" w:hAnsi="宋体"/>
          <w:b/>
          <w:bCs/>
          <w:color w:val="auto"/>
          <w:szCs w:val="21"/>
          <w:lang w:val="zh-CN"/>
        </w:rPr>
        <w:t>1.6 违约责任</w:t>
      </w:r>
      <w:bookmarkEnd w:id="102"/>
      <w:bookmarkEnd w:id="103"/>
      <w:bookmarkEnd w:id="104"/>
    </w:p>
    <w:p w14:paraId="105D82F3">
      <w:pPr>
        <w:spacing w:line="360" w:lineRule="auto"/>
        <w:ind w:firstLine="435"/>
        <w:rPr>
          <w:rFonts w:ascii="宋体" w:hAnsi="宋体"/>
          <w:color w:val="auto"/>
          <w:szCs w:val="21"/>
        </w:rPr>
      </w:pPr>
      <w:r>
        <w:rPr>
          <w:rFonts w:hint="eastAsia" w:ascii="宋体" w:hAnsi="宋体"/>
          <w:color w:val="auto"/>
          <w:szCs w:val="21"/>
        </w:rPr>
        <w:t>1.6.1</w:t>
      </w:r>
      <w:r>
        <w:rPr>
          <w:rFonts w:ascii="宋体" w:hAnsi="宋体"/>
          <w:color w:val="auto"/>
          <w:szCs w:val="21"/>
        </w:rPr>
        <w:t>除不可抗力外，如果乙方没有按照本合同约定的期限</w:t>
      </w:r>
      <w:r>
        <w:rPr>
          <w:rFonts w:hint="eastAsia" w:ascii="宋体" w:hAnsi="宋体"/>
          <w:color w:val="auto"/>
          <w:szCs w:val="21"/>
        </w:rPr>
        <w:t>、</w:t>
      </w:r>
      <w:r>
        <w:rPr>
          <w:rFonts w:ascii="宋体" w:hAnsi="宋体"/>
          <w:color w:val="auto"/>
          <w:szCs w:val="21"/>
        </w:rPr>
        <w:t>地点和方式</w:t>
      </w:r>
      <w:r>
        <w:rPr>
          <w:rFonts w:hint="eastAsia" w:ascii="宋体" w:hAnsi="宋体"/>
          <w:color w:val="auto"/>
          <w:szCs w:val="21"/>
        </w:rPr>
        <w:t>履行</w:t>
      </w:r>
      <w:r>
        <w:rPr>
          <w:rFonts w:ascii="宋体" w:hAnsi="宋体"/>
          <w:color w:val="auto"/>
          <w:szCs w:val="21"/>
        </w:rPr>
        <w:t>，那么甲方可要求乙方支付违约金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履行</w:t>
      </w:r>
      <w:r>
        <w:rPr>
          <w:rFonts w:ascii="宋体" w:hAnsi="宋体"/>
          <w:color w:val="auto"/>
          <w:szCs w:val="21"/>
        </w:rPr>
        <w:t>一日的应提供而未</w:t>
      </w:r>
      <w:r>
        <w:rPr>
          <w:rFonts w:hint="eastAsia" w:ascii="宋体" w:hAnsi="宋体"/>
          <w:color w:val="auto"/>
          <w:szCs w:val="21"/>
        </w:rPr>
        <w:t>提供</w:t>
      </w:r>
      <w:r>
        <w:rPr>
          <w:rFonts w:ascii="宋体" w:hAnsi="宋体"/>
          <w:color w:val="auto"/>
          <w:szCs w:val="21"/>
        </w:rPr>
        <w:t>服务价格的</w:t>
      </w:r>
      <w:r>
        <w:rPr>
          <w:rFonts w:hint="eastAsia" w:ascii="宋体" w:hAnsi="宋体"/>
          <w:color w:val="auto"/>
          <w:szCs w:val="21"/>
          <w:u w:val="single"/>
        </w:rPr>
        <w:t>1</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10</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履行</w:t>
      </w:r>
      <w:r>
        <w:rPr>
          <w:rFonts w:ascii="宋体" w:hAnsi="宋体"/>
          <w:color w:val="auto"/>
          <w:szCs w:val="21"/>
        </w:rPr>
        <w:t>的违约金计算数额达到前述最高限额之日起</w:t>
      </w:r>
      <w:r>
        <w:rPr>
          <w:rFonts w:hint="eastAsia" w:ascii="宋体" w:hAnsi="宋体"/>
          <w:color w:val="auto"/>
          <w:szCs w:val="21"/>
        </w:rPr>
        <w:t>，</w:t>
      </w:r>
      <w:r>
        <w:rPr>
          <w:rFonts w:ascii="宋体" w:hAnsi="宋体"/>
          <w:color w:val="auto"/>
          <w:szCs w:val="21"/>
        </w:rPr>
        <w:t>甲方有权在要求乙方支付违约金的同时</w:t>
      </w:r>
      <w:r>
        <w:rPr>
          <w:rFonts w:hint="eastAsia" w:ascii="宋体" w:hAnsi="宋体"/>
          <w:color w:val="auto"/>
          <w:szCs w:val="21"/>
        </w:rPr>
        <w:t>，书面通知乙方</w:t>
      </w:r>
      <w:r>
        <w:rPr>
          <w:rFonts w:ascii="宋体" w:hAnsi="宋体"/>
          <w:color w:val="auto"/>
          <w:szCs w:val="21"/>
        </w:rPr>
        <w:t>解除本合同</w:t>
      </w:r>
      <w:r>
        <w:rPr>
          <w:rFonts w:hint="eastAsia" w:ascii="宋体" w:hAnsi="宋体"/>
          <w:color w:val="auto"/>
          <w:szCs w:val="21"/>
        </w:rPr>
        <w:t>；</w:t>
      </w:r>
    </w:p>
    <w:p w14:paraId="0E9888C5">
      <w:pPr>
        <w:spacing w:line="360" w:lineRule="auto"/>
        <w:ind w:firstLine="435"/>
        <w:rPr>
          <w:rFonts w:ascii="宋体" w:hAnsi="宋体"/>
          <w:color w:val="auto"/>
          <w:szCs w:val="21"/>
        </w:rPr>
      </w:pPr>
      <w:r>
        <w:rPr>
          <w:rFonts w:hint="eastAsia" w:ascii="宋体" w:hAnsi="宋体"/>
          <w:color w:val="auto"/>
          <w:szCs w:val="21"/>
        </w:rPr>
        <w:t>1.6.2</w:t>
      </w:r>
      <w:r>
        <w:rPr>
          <w:rFonts w:ascii="宋体" w:hAnsi="宋体"/>
          <w:color w:val="auto"/>
          <w:szCs w:val="21"/>
        </w:rPr>
        <w:t>除不可抗力外，如果甲方没有按照本合同约定的付款方式付款，那么乙方可要求甲方支付违约金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付款</w:t>
      </w:r>
      <w:r>
        <w:rPr>
          <w:rFonts w:ascii="宋体" w:hAnsi="宋体"/>
          <w:color w:val="auto"/>
          <w:szCs w:val="21"/>
        </w:rPr>
        <w:t>一日的应付而未付款的</w:t>
      </w:r>
      <w:r>
        <w:rPr>
          <w:rFonts w:hint="eastAsia" w:ascii="宋体" w:hAnsi="宋体"/>
          <w:color w:val="auto"/>
          <w:szCs w:val="21"/>
          <w:u w:val="single"/>
        </w:rPr>
        <w:t>1</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10</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付款</w:t>
      </w:r>
      <w:r>
        <w:rPr>
          <w:rFonts w:ascii="宋体" w:hAnsi="宋体"/>
          <w:color w:val="auto"/>
          <w:szCs w:val="21"/>
        </w:rPr>
        <w:t>的违约金计算数额达到前述最高限额之日起</w:t>
      </w:r>
      <w:r>
        <w:rPr>
          <w:rFonts w:hint="eastAsia" w:ascii="宋体" w:hAnsi="宋体"/>
          <w:color w:val="auto"/>
          <w:szCs w:val="21"/>
        </w:rPr>
        <w:t>，乙</w:t>
      </w:r>
      <w:r>
        <w:rPr>
          <w:rFonts w:ascii="宋体" w:hAnsi="宋体"/>
          <w:color w:val="auto"/>
          <w:szCs w:val="21"/>
        </w:rPr>
        <w:t>方有权在要求甲方支付违约金的同时</w:t>
      </w:r>
      <w:r>
        <w:rPr>
          <w:rFonts w:hint="eastAsia" w:ascii="宋体" w:hAnsi="宋体"/>
          <w:color w:val="auto"/>
          <w:szCs w:val="21"/>
        </w:rPr>
        <w:t>，书面通知甲方</w:t>
      </w:r>
      <w:r>
        <w:rPr>
          <w:rFonts w:ascii="宋体" w:hAnsi="宋体"/>
          <w:color w:val="auto"/>
          <w:szCs w:val="21"/>
        </w:rPr>
        <w:t>解除本合同</w:t>
      </w:r>
      <w:r>
        <w:rPr>
          <w:rFonts w:hint="eastAsia" w:ascii="宋体" w:hAnsi="宋体"/>
          <w:color w:val="auto"/>
          <w:szCs w:val="21"/>
        </w:rPr>
        <w:t>；</w:t>
      </w:r>
    </w:p>
    <w:p w14:paraId="4F71662A">
      <w:pPr>
        <w:spacing w:line="360" w:lineRule="auto"/>
        <w:ind w:firstLine="435"/>
        <w:rPr>
          <w:rFonts w:ascii="宋体" w:hAnsi="宋体"/>
          <w:color w:val="auto"/>
          <w:szCs w:val="21"/>
        </w:rPr>
      </w:pPr>
      <w:r>
        <w:rPr>
          <w:rFonts w:hint="eastAsia" w:ascii="宋体" w:hAnsi="宋体"/>
          <w:color w:val="auto"/>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42417B">
      <w:pPr>
        <w:spacing w:line="360" w:lineRule="auto"/>
        <w:ind w:firstLine="435"/>
        <w:rPr>
          <w:rFonts w:ascii="宋体" w:hAnsi="宋体"/>
          <w:color w:val="auto"/>
          <w:szCs w:val="21"/>
        </w:rPr>
      </w:pPr>
      <w:r>
        <w:rPr>
          <w:rFonts w:hint="eastAsia" w:ascii="宋体" w:hAnsi="宋体"/>
          <w:color w:val="auto"/>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7D2EE4">
      <w:pPr>
        <w:spacing w:line="360" w:lineRule="auto"/>
        <w:ind w:firstLine="435"/>
        <w:rPr>
          <w:rFonts w:ascii="宋体" w:hAnsi="宋体"/>
          <w:color w:val="auto"/>
          <w:szCs w:val="21"/>
        </w:rPr>
      </w:pPr>
      <w:r>
        <w:rPr>
          <w:rFonts w:hint="eastAsia" w:ascii="宋体" w:hAnsi="宋体"/>
          <w:color w:val="auto"/>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328A4CD">
      <w:pPr>
        <w:spacing w:line="360" w:lineRule="auto"/>
        <w:ind w:firstLine="435"/>
        <w:rPr>
          <w:rFonts w:ascii="宋体" w:hAnsi="宋体"/>
          <w:color w:val="auto"/>
          <w:szCs w:val="21"/>
        </w:rPr>
      </w:pPr>
      <w:r>
        <w:rPr>
          <w:rFonts w:hint="eastAsia" w:ascii="宋体" w:hAnsi="宋体"/>
          <w:color w:val="auto"/>
          <w:szCs w:val="21"/>
        </w:rPr>
        <w:t>1.6.6如果出现政府采购监督管理部门在处理投诉事项期间，书面通知甲方暂停采购活动的情形，或者询问或质疑事项可能影响中标结果的，导致甲方中止履行合同的情形，均不视为甲方违约。</w:t>
      </w:r>
    </w:p>
    <w:p w14:paraId="60F9BAEC">
      <w:pPr>
        <w:spacing w:line="360" w:lineRule="auto"/>
        <w:ind w:firstLine="437"/>
        <w:outlineLvl w:val="3"/>
        <w:rPr>
          <w:rFonts w:ascii="宋体" w:hAnsi="宋体"/>
          <w:b/>
          <w:bCs/>
          <w:color w:val="auto"/>
          <w:szCs w:val="21"/>
          <w:lang w:val="zh-CN"/>
        </w:rPr>
      </w:pPr>
      <w:bookmarkStart w:id="105" w:name="_Toc28375"/>
      <w:bookmarkStart w:id="106" w:name="_Toc15583"/>
      <w:bookmarkStart w:id="107" w:name="_Toc16021"/>
      <w:r>
        <w:rPr>
          <w:rFonts w:hint="eastAsia" w:ascii="宋体" w:hAnsi="宋体"/>
          <w:b/>
          <w:bCs/>
          <w:color w:val="auto"/>
          <w:szCs w:val="21"/>
          <w:lang w:val="zh-CN"/>
        </w:rPr>
        <w:t>1.7</w:t>
      </w:r>
      <w:r>
        <w:rPr>
          <w:rFonts w:ascii="宋体" w:hAnsi="宋体"/>
          <w:b/>
          <w:bCs/>
          <w:color w:val="auto"/>
          <w:szCs w:val="21"/>
          <w:lang w:val="zh-CN"/>
        </w:rPr>
        <w:t xml:space="preserve"> </w:t>
      </w:r>
      <w:r>
        <w:rPr>
          <w:rFonts w:hint="eastAsia" w:ascii="宋体" w:hAnsi="宋体"/>
          <w:b/>
          <w:bCs/>
          <w:color w:val="auto"/>
          <w:szCs w:val="21"/>
          <w:lang w:val="zh-CN"/>
        </w:rPr>
        <w:t>合同</w:t>
      </w:r>
      <w:r>
        <w:rPr>
          <w:rFonts w:ascii="宋体" w:hAnsi="宋体"/>
          <w:b/>
          <w:bCs/>
          <w:color w:val="auto"/>
          <w:szCs w:val="21"/>
          <w:lang w:val="zh-CN"/>
        </w:rPr>
        <w:t>争议的解决</w:t>
      </w:r>
      <w:bookmarkEnd w:id="105"/>
      <w:bookmarkEnd w:id="106"/>
      <w:bookmarkEnd w:id="107"/>
    </w:p>
    <w:p w14:paraId="2D7E0875">
      <w:pPr>
        <w:spacing w:line="360" w:lineRule="auto"/>
        <w:ind w:firstLine="435"/>
        <w:rPr>
          <w:rFonts w:ascii="宋体" w:hAnsi="宋体"/>
          <w:color w:val="auto"/>
          <w:szCs w:val="21"/>
        </w:rPr>
      </w:pPr>
      <w:r>
        <w:rPr>
          <w:rFonts w:hint="eastAsia" w:ascii="宋体" w:hAnsi="宋体"/>
          <w:color w:val="auto"/>
          <w:szCs w:val="21"/>
        </w:rPr>
        <w:t>本合</w:t>
      </w:r>
      <w:r>
        <w:rPr>
          <w:rFonts w:ascii="宋体" w:hAnsi="宋体"/>
          <w:color w:val="auto"/>
          <w:szCs w:val="21"/>
        </w:rPr>
        <w:t>同履行过程中发生的任何争议，双方当事人均可</w:t>
      </w:r>
      <w:r>
        <w:rPr>
          <w:rFonts w:hint="eastAsia" w:ascii="宋体" w:hAnsi="宋体"/>
          <w:color w:val="auto"/>
          <w:szCs w:val="21"/>
        </w:rPr>
        <w:t>通过和解或者调解解决；不愿和解、调解或者和解、调解不成的，可以选择下列第</w:t>
      </w:r>
      <w:r>
        <w:rPr>
          <w:rFonts w:hint="eastAsia" w:ascii="宋体" w:hAnsi="宋体"/>
          <w:color w:val="auto"/>
          <w:szCs w:val="21"/>
          <w:u w:val="single"/>
        </w:rPr>
        <w:t xml:space="preserve">    </w:t>
      </w:r>
      <w:r>
        <w:rPr>
          <w:rFonts w:hint="eastAsia" w:ascii="宋体" w:hAnsi="宋体"/>
          <w:color w:val="auto"/>
          <w:szCs w:val="21"/>
        </w:rPr>
        <w:t>种方式解决：</w:t>
      </w:r>
    </w:p>
    <w:p w14:paraId="0650EC30">
      <w:pPr>
        <w:spacing w:line="360" w:lineRule="auto"/>
        <w:ind w:firstLine="435"/>
        <w:rPr>
          <w:rFonts w:ascii="宋体" w:hAnsi="宋体"/>
          <w:color w:val="auto"/>
          <w:szCs w:val="21"/>
        </w:rPr>
      </w:pPr>
      <w:r>
        <w:rPr>
          <w:rFonts w:hint="eastAsia" w:ascii="宋体" w:hAnsi="宋体"/>
          <w:color w:val="auto"/>
          <w:szCs w:val="21"/>
        </w:rPr>
        <w:t>1.7.1将争议提交滁州仲裁委员会依申请仲裁时其现行有效的仲裁规则裁决；</w:t>
      </w:r>
    </w:p>
    <w:p w14:paraId="24B33F8C">
      <w:pPr>
        <w:spacing w:line="360" w:lineRule="auto"/>
        <w:ind w:firstLine="435"/>
        <w:rPr>
          <w:rFonts w:ascii="宋体" w:hAnsi="宋体"/>
          <w:color w:val="auto"/>
          <w:szCs w:val="21"/>
        </w:rPr>
      </w:pPr>
      <w:r>
        <w:rPr>
          <w:rFonts w:hint="eastAsia" w:ascii="宋体" w:hAnsi="宋体"/>
          <w:color w:val="auto"/>
          <w:szCs w:val="21"/>
        </w:rPr>
        <w:t>1.7.2向甲方（采购人）</w:t>
      </w:r>
      <w:r>
        <w:rPr>
          <w:rFonts w:hint="eastAsia" w:ascii="宋体" w:cs="宋体"/>
          <w:color w:val="auto"/>
          <w:szCs w:val="21"/>
          <w:u w:color="000000"/>
        </w:rPr>
        <w:t>所在地</w:t>
      </w:r>
      <w:r>
        <w:rPr>
          <w:rFonts w:hint="eastAsia" w:ascii="宋体" w:hAnsi="宋体"/>
          <w:color w:val="auto"/>
          <w:szCs w:val="21"/>
        </w:rPr>
        <w:t>人民法院起诉。</w:t>
      </w:r>
    </w:p>
    <w:p w14:paraId="4DC126AD">
      <w:pPr>
        <w:spacing w:line="360" w:lineRule="auto"/>
        <w:ind w:firstLine="437"/>
        <w:outlineLvl w:val="3"/>
        <w:rPr>
          <w:rFonts w:ascii="宋体" w:hAnsi="宋体"/>
          <w:b/>
          <w:bCs/>
          <w:color w:val="auto"/>
          <w:szCs w:val="21"/>
          <w:lang w:val="zh-CN"/>
        </w:rPr>
      </w:pPr>
      <w:bookmarkStart w:id="108" w:name="_Toc7245"/>
      <w:bookmarkStart w:id="109" w:name="_Toc11173"/>
      <w:bookmarkStart w:id="110" w:name="_Toc15322"/>
      <w:r>
        <w:rPr>
          <w:rFonts w:hint="eastAsia" w:ascii="宋体" w:hAnsi="宋体"/>
          <w:b/>
          <w:bCs/>
          <w:color w:val="auto"/>
          <w:szCs w:val="21"/>
          <w:lang w:val="zh-CN"/>
        </w:rPr>
        <w:t>1.8</w:t>
      </w:r>
      <w:r>
        <w:rPr>
          <w:rFonts w:ascii="宋体" w:hAnsi="宋体"/>
          <w:b/>
          <w:bCs/>
          <w:color w:val="auto"/>
          <w:szCs w:val="21"/>
          <w:lang w:val="zh-CN"/>
        </w:rPr>
        <w:t xml:space="preserve"> 合同生效</w:t>
      </w:r>
      <w:bookmarkEnd w:id="108"/>
      <w:bookmarkEnd w:id="109"/>
      <w:bookmarkEnd w:id="110"/>
    </w:p>
    <w:p w14:paraId="54BF14BF">
      <w:pPr>
        <w:spacing w:line="360" w:lineRule="auto"/>
        <w:ind w:firstLine="435"/>
        <w:rPr>
          <w:rFonts w:ascii="宋体" w:hAnsi="宋体"/>
          <w:color w:val="auto"/>
          <w:szCs w:val="21"/>
        </w:rPr>
      </w:pPr>
      <w:r>
        <w:rPr>
          <w:rFonts w:ascii="宋体" w:hAnsi="宋体"/>
          <w:color w:val="auto"/>
          <w:szCs w:val="21"/>
        </w:rPr>
        <w:t>本合同自</w:t>
      </w:r>
      <w:r>
        <w:rPr>
          <w:rFonts w:hint="eastAsia" w:ascii="宋体" w:hAnsi="宋体"/>
          <w:color w:val="auto"/>
          <w:szCs w:val="21"/>
        </w:rPr>
        <w:t>双方当事人盖章时</w:t>
      </w:r>
      <w:r>
        <w:rPr>
          <w:rFonts w:ascii="宋体" w:hAnsi="宋体"/>
          <w:color w:val="auto"/>
          <w:szCs w:val="21"/>
        </w:rPr>
        <w:t>生效。</w:t>
      </w:r>
    </w:p>
    <w:p w14:paraId="11AC4A4D">
      <w:pPr>
        <w:autoSpaceDE w:val="0"/>
        <w:autoSpaceDN w:val="0"/>
        <w:adjustRightInd w:val="0"/>
        <w:spacing w:line="560" w:lineRule="exact"/>
        <w:rPr>
          <w:rFonts w:ascii="宋体" w:hAnsi="宋体"/>
          <w:color w:val="auto"/>
          <w:szCs w:val="21"/>
          <w:lang w:val="zh-CN"/>
        </w:rPr>
      </w:pPr>
    </w:p>
    <w:p w14:paraId="0CFFAA8E">
      <w:pPr>
        <w:autoSpaceDE w:val="0"/>
        <w:autoSpaceDN w:val="0"/>
        <w:adjustRightInd w:val="0"/>
        <w:spacing w:line="560" w:lineRule="exact"/>
        <w:rPr>
          <w:rFonts w:ascii="宋体" w:hAnsi="宋体"/>
          <w:color w:val="auto"/>
          <w:szCs w:val="21"/>
          <w:lang w:val="zh-CN"/>
        </w:rPr>
      </w:pPr>
    </w:p>
    <w:p w14:paraId="45A1DBC5">
      <w:pPr>
        <w:autoSpaceDE w:val="0"/>
        <w:autoSpaceDN w:val="0"/>
        <w:adjustRightInd w:val="0"/>
        <w:spacing w:line="560" w:lineRule="exact"/>
        <w:rPr>
          <w:rFonts w:ascii="宋体" w:hAnsi="宋体"/>
          <w:bCs/>
          <w:color w:val="auto"/>
          <w:szCs w:val="21"/>
          <w:lang w:val="zh-CN"/>
        </w:rPr>
      </w:pPr>
      <w:r>
        <w:rPr>
          <w:rFonts w:hint="eastAsia" w:ascii="宋体" w:hAnsi="宋体"/>
          <w:bCs/>
          <w:color w:val="auto"/>
          <w:szCs w:val="21"/>
          <w:lang w:val="zh-CN"/>
        </w:rPr>
        <w:t xml:space="preserve">甲 </w:t>
      </w:r>
      <w:r>
        <w:rPr>
          <w:rFonts w:ascii="宋体" w:hAnsi="宋体"/>
          <w:bCs/>
          <w:color w:val="auto"/>
          <w:szCs w:val="21"/>
          <w:lang w:val="zh-CN"/>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r>
        <w:rPr>
          <w:rFonts w:hint="eastAsia" w:ascii="宋体" w:hAnsi="宋体"/>
          <w:bCs/>
          <w:color w:val="auto"/>
          <w:szCs w:val="21"/>
          <w:lang w:val="zh-CN"/>
        </w:rPr>
        <w:t xml:space="preserve">          乙</w:t>
      </w:r>
      <w:r>
        <w:rPr>
          <w:rFonts w:hint="eastAsia" w:ascii="宋体" w:hAnsi="宋体"/>
          <w:bCs/>
          <w:color w:val="auto"/>
          <w:szCs w:val="21"/>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p>
    <w:p w14:paraId="3885126B">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 xml:space="preserve">法定代表人                             </w:t>
      </w:r>
      <w:r>
        <w:rPr>
          <w:rFonts w:ascii="宋体" w:hAnsi="宋体"/>
          <w:color w:val="auto"/>
          <w:szCs w:val="21"/>
          <w:lang w:val="zh-CN"/>
        </w:rPr>
        <w:t xml:space="preserve">  </w:t>
      </w:r>
      <w:r>
        <w:rPr>
          <w:rFonts w:hint="eastAsia" w:ascii="宋体" w:hAnsi="宋体"/>
          <w:color w:val="auto"/>
          <w:szCs w:val="21"/>
          <w:lang w:val="zh-CN"/>
        </w:rPr>
        <w:t>法定代表人</w:t>
      </w:r>
    </w:p>
    <w:p w14:paraId="2F65CAC0">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或授权代表（签字）：                     或授权代表（签字）：</w:t>
      </w:r>
    </w:p>
    <w:p w14:paraId="606D42CB">
      <w:pPr>
        <w:widowControl/>
        <w:spacing w:line="560" w:lineRule="exact"/>
        <w:jc w:val="left"/>
        <w:rPr>
          <w:rFonts w:ascii="宋体" w:hAnsi="宋体"/>
          <w:bCs/>
          <w:color w:val="auto"/>
          <w:szCs w:val="21"/>
        </w:rPr>
      </w:pPr>
      <w:bookmarkStart w:id="111" w:name="_Toc331685783"/>
      <w:r>
        <w:rPr>
          <w:rFonts w:hint="eastAsia" w:ascii="宋体" w:hAnsi="宋体"/>
          <w:bCs/>
          <w:color w:val="auto"/>
          <w:szCs w:val="21"/>
        </w:rPr>
        <w:t>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               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w:t>
      </w:r>
    </w:p>
    <w:p w14:paraId="55AB90EC">
      <w:pPr>
        <w:widowControl/>
        <w:jc w:val="center"/>
        <w:rPr>
          <w:rFonts w:ascii="宋体" w:hAnsi="宋体"/>
          <w:b/>
          <w:color w:val="auto"/>
          <w:szCs w:val="21"/>
        </w:rPr>
      </w:pPr>
      <w:r>
        <w:rPr>
          <w:rFonts w:ascii="宋体" w:hAnsi="宋体"/>
          <w:b/>
          <w:color w:val="auto"/>
          <w:szCs w:val="21"/>
        </w:rPr>
        <w:br w:type="page"/>
      </w:r>
      <w:r>
        <w:rPr>
          <w:rFonts w:hint="eastAsia" w:ascii="宋体" w:hAnsi="宋体"/>
          <w:b/>
          <w:color w:val="auto"/>
          <w:szCs w:val="21"/>
        </w:rPr>
        <w:t>第二部分</w:t>
      </w:r>
      <w:r>
        <w:rPr>
          <w:rFonts w:ascii="宋体" w:hAnsi="宋体"/>
          <w:b/>
          <w:color w:val="auto"/>
          <w:szCs w:val="21"/>
        </w:rPr>
        <w:t xml:space="preserve"> </w:t>
      </w:r>
      <w:r>
        <w:rPr>
          <w:rFonts w:hint="eastAsia" w:ascii="宋体" w:hAnsi="宋体"/>
          <w:b/>
          <w:color w:val="auto"/>
          <w:szCs w:val="21"/>
        </w:rPr>
        <w:t>合同一般条款</w:t>
      </w:r>
      <w:bookmarkEnd w:id="111"/>
    </w:p>
    <w:p w14:paraId="76FDDA85">
      <w:pPr>
        <w:spacing w:line="360" w:lineRule="auto"/>
        <w:ind w:firstLine="437"/>
        <w:outlineLvl w:val="3"/>
        <w:rPr>
          <w:rFonts w:ascii="宋体" w:hAnsi="宋体"/>
          <w:b/>
          <w:bCs/>
          <w:color w:val="auto"/>
          <w:szCs w:val="21"/>
          <w:lang w:val="zh-CN"/>
        </w:rPr>
      </w:pPr>
      <w:bookmarkStart w:id="112" w:name="_Ref467378499"/>
      <w:bookmarkStart w:id="113" w:name="_Ref467378463"/>
      <w:bookmarkStart w:id="114" w:name="_Ref467379214"/>
      <w:bookmarkStart w:id="115" w:name="_Ref467379109"/>
      <w:bookmarkStart w:id="116" w:name="_Toc19614"/>
      <w:bookmarkStart w:id="117" w:name="_Toc259093669"/>
      <w:bookmarkStart w:id="118" w:name="_Ref467379195"/>
      <w:bookmarkStart w:id="119" w:name="_Ref467378404"/>
      <w:bookmarkStart w:id="120" w:name="_Toc279701240"/>
      <w:bookmarkStart w:id="121" w:name="_Toc28763"/>
      <w:bookmarkStart w:id="122" w:name="_Ref467379225"/>
      <w:bookmarkStart w:id="123" w:name="_Toc16917"/>
      <w:bookmarkStart w:id="124" w:name="_Toc487900349"/>
      <w:bookmarkStart w:id="125" w:name="_Ref467379205"/>
      <w:bookmarkStart w:id="126" w:name="_Ref467379094"/>
      <w:bookmarkStart w:id="127" w:name="_Ref467379101"/>
      <w:r>
        <w:rPr>
          <w:rFonts w:hint="eastAsia" w:ascii="宋体" w:hAnsi="宋体"/>
          <w:b/>
          <w:bCs/>
          <w:color w:val="auto"/>
          <w:szCs w:val="21"/>
          <w:lang w:val="zh-CN"/>
        </w:rPr>
        <w:t>2.1</w:t>
      </w:r>
      <w:r>
        <w:rPr>
          <w:rFonts w:ascii="宋体" w:hAnsi="宋体"/>
          <w:b/>
          <w:bCs/>
          <w:color w:val="auto"/>
          <w:szCs w:val="21"/>
          <w:lang w:val="zh-CN"/>
        </w:rPr>
        <w:t xml:space="preserve">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C760234">
      <w:pPr>
        <w:spacing w:line="360" w:lineRule="auto"/>
        <w:ind w:firstLine="435"/>
        <w:rPr>
          <w:rFonts w:ascii="宋体" w:hAnsi="宋体"/>
          <w:color w:val="auto"/>
          <w:szCs w:val="21"/>
        </w:rPr>
      </w:pPr>
      <w:r>
        <w:rPr>
          <w:rFonts w:ascii="宋体" w:hAnsi="宋体"/>
          <w:color w:val="auto"/>
          <w:szCs w:val="21"/>
        </w:rPr>
        <w:t>本合同中的下列</w:t>
      </w:r>
      <w:r>
        <w:rPr>
          <w:rFonts w:hint="eastAsia" w:ascii="宋体" w:hAnsi="宋体"/>
          <w:color w:val="auto"/>
          <w:szCs w:val="21"/>
        </w:rPr>
        <w:t>词</w:t>
      </w:r>
      <w:r>
        <w:rPr>
          <w:rFonts w:ascii="宋体" w:hAnsi="宋体"/>
          <w:color w:val="auto"/>
          <w:szCs w:val="21"/>
        </w:rPr>
        <w:t>语应</w:t>
      </w:r>
      <w:r>
        <w:rPr>
          <w:rFonts w:hint="eastAsia" w:ascii="宋体" w:hAnsi="宋体"/>
          <w:color w:val="auto"/>
          <w:szCs w:val="21"/>
        </w:rPr>
        <w:t>按以下内容进行</w:t>
      </w:r>
      <w:r>
        <w:rPr>
          <w:rFonts w:ascii="宋体" w:hAnsi="宋体"/>
          <w:color w:val="auto"/>
          <w:szCs w:val="21"/>
        </w:rPr>
        <w:t>解释：</w:t>
      </w:r>
    </w:p>
    <w:p w14:paraId="2D4AFB8D">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.1</w:t>
      </w:r>
      <w:r>
        <w:rPr>
          <w:rFonts w:ascii="宋体" w:hAnsi="宋体"/>
          <w:color w:val="auto"/>
          <w:szCs w:val="21"/>
        </w:rPr>
        <w:t>“合同”系指采购人和中标</w:t>
      </w:r>
      <w:r>
        <w:rPr>
          <w:rFonts w:hint="eastAsia" w:ascii="宋体" w:hAnsi="宋体"/>
          <w:color w:val="auto"/>
          <w:szCs w:val="21"/>
        </w:rPr>
        <w:t>人</w:t>
      </w:r>
      <w:r>
        <w:rPr>
          <w:rFonts w:ascii="宋体" w:hAnsi="宋体"/>
          <w:color w:val="auto"/>
          <w:szCs w:val="21"/>
        </w:rPr>
        <w:t>签订的载明双方当事人所达成的协议，并包括所有的附件、附录和构成合同的其他文件。</w:t>
      </w:r>
    </w:p>
    <w:p w14:paraId="28C4E019">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1.2“合同价”系指根据合同约定，中标</w:t>
      </w:r>
      <w:r>
        <w:rPr>
          <w:rFonts w:hint="eastAsia" w:ascii="宋体" w:hAnsi="宋体"/>
          <w:color w:val="auto"/>
          <w:szCs w:val="21"/>
        </w:rPr>
        <w:t>人</w:t>
      </w:r>
      <w:r>
        <w:rPr>
          <w:rFonts w:ascii="宋体" w:hAnsi="宋体"/>
          <w:color w:val="auto"/>
          <w:szCs w:val="21"/>
        </w:rPr>
        <w:t>在完全履行合同义务后</w:t>
      </w:r>
      <w:r>
        <w:rPr>
          <w:rFonts w:hint="eastAsia" w:ascii="宋体" w:hAnsi="宋体"/>
          <w:color w:val="auto"/>
          <w:szCs w:val="21"/>
        </w:rPr>
        <w:t>，</w:t>
      </w:r>
      <w:r>
        <w:rPr>
          <w:rFonts w:ascii="宋体" w:hAnsi="宋体"/>
          <w:color w:val="auto"/>
          <w:szCs w:val="21"/>
        </w:rPr>
        <w:t>采购人应支付给中标人的价格。</w:t>
      </w:r>
    </w:p>
    <w:p w14:paraId="75F5CEF8">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1.3“</w:t>
      </w:r>
      <w:r>
        <w:rPr>
          <w:rFonts w:hint="eastAsia" w:ascii="宋体" w:hAnsi="宋体"/>
          <w:color w:val="auto"/>
          <w:szCs w:val="21"/>
        </w:rPr>
        <w:t>服务</w:t>
      </w:r>
      <w:r>
        <w:rPr>
          <w:rFonts w:ascii="宋体" w:hAnsi="宋体"/>
          <w:color w:val="auto"/>
          <w:szCs w:val="21"/>
        </w:rPr>
        <w:t>”系指</w:t>
      </w:r>
      <w:r>
        <w:rPr>
          <w:rFonts w:hint="eastAsia" w:ascii="宋体" w:hAnsi="宋体"/>
          <w:color w:val="auto"/>
          <w:szCs w:val="21"/>
        </w:rPr>
        <w:t>中标人</w:t>
      </w:r>
      <w:r>
        <w:rPr>
          <w:rFonts w:ascii="宋体" w:hAnsi="宋体"/>
          <w:color w:val="auto"/>
          <w:szCs w:val="21"/>
        </w:rPr>
        <w:t>根据合同约定应向采购人</w:t>
      </w:r>
      <w:r>
        <w:rPr>
          <w:rFonts w:hint="eastAsia" w:ascii="宋体" w:hAnsi="宋体"/>
          <w:color w:val="auto"/>
          <w:szCs w:val="21"/>
        </w:rPr>
        <w:t>履行</w:t>
      </w:r>
      <w:r>
        <w:rPr>
          <w:rFonts w:ascii="宋体" w:hAnsi="宋体"/>
          <w:color w:val="auto"/>
          <w:szCs w:val="21"/>
        </w:rPr>
        <w:t>的</w:t>
      </w:r>
      <w:r>
        <w:rPr>
          <w:rFonts w:hint="eastAsia" w:ascii="宋体" w:hAnsi="宋体"/>
          <w:color w:val="auto"/>
          <w:szCs w:val="21"/>
        </w:rPr>
        <w:t>除货物和工程以外的其他政府采购对象，包括采购人自身需要的服务和向社会公众提供的公共服务。</w:t>
      </w:r>
    </w:p>
    <w:p w14:paraId="2BB5B92A">
      <w:pPr>
        <w:spacing w:line="360" w:lineRule="auto"/>
        <w:ind w:firstLine="435"/>
        <w:rPr>
          <w:rFonts w:ascii="宋体" w:hAnsi="宋体"/>
          <w:color w:val="auto"/>
          <w:szCs w:val="21"/>
        </w:rPr>
      </w:pPr>
      <w:bookmarkStart w:id="128" w:name="_Ref467378840"/>
      <w:r>
        <w:rPr>
          <w:rFonts w:hint="eastAsia" w:ascii="宋体" w:hAnsi="宋体"/>
          <w:color w:val="auto"/>
          <w:szCs w:val="21"/>
        </w:rPr>
        <w:t>2.</w:t>
      </w:r>
      <w:r>
        <w:rPr>
          <w:rFonts w:ascii="宋体" w:hAnsi="宋体"/>
          <w:color w:val="auto"/>
          <w:szCs w:val="21"/>
        </w:rPr>
        <w:t>1.</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甲方</w:t>
      </w:r>
      <w:r>
        <w:rPr>
          <w:rFonts w:ascii="宋体" w:hAnsi="宋体"/>
          <w:color w:val="auto"/>
          <w:szCs w:val="21"/>
        </w:rPr>
        <w:t>”系指与</w:t>
      </w:r>
      <w:r>
        <w:rPr>
          <w:rFonts w:hint="eastAsia" w:ascii="宋体" w:hAnsi="宋体"/>
          <w:color w:val="auto"/>
          <w:szCs w:val="21"/>
        </w:rPr>
        <w:t>中标人</w:t>
      </w:r>
      <w:r>
        <w:rPr>
          <w:rFonts w:ascii="宋体" w:hAnsi="宋体"/>
          <w:color w:val="auto"/>
          <w:szCs w:val="21"/>
        </w:rPr>
        <w:t>签署合同的采购人</w:t>
      </w:r>
      <w:bookmarkEnd w:id="128"/>
      <w:r>
        <w:rPr>
          <w:rFonts w:hint="eastAsia" w:ascii="宋体" w:hAnsi="宋体"/>
          <w:color w:val="auto"/>
          <w:szCs w:val="21"/>
        </w:rPr>
        <w:t>；采购人委托采购代理机构代表其与乙方签订合同的，采购人的授权委托书作为合同附件。</w:t>
      </w:r>
    </w:p>
    <w:p w14:paraId="41F3F3E4">
      <w:pPr>
        <w:spacing w:line="360" w:lineRule="auto"/>
        <w:ind w:firstLine="435"/>
        <w:rPr>
          <w:rFonts w:ascii="宋体" w:hAnsi="宋体"/>
          <w:color w:val="auto"/>
          <w:szCs w:val="21"/>
        </w:rPr>
      </w:pPr>
      <w:bookmarkStart w:id="129" w:name="_Ref467379400"/>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“乙方”系指根据合同约定</w:t>
      </w:r>
      <w:r>
        <w:rPr>
          <w:rFonts w:hint="eastAsia" w:ascii="宋体" w:hAnsi="宋体"/>
          <w:color w:val="auto"/>
          <w:szCs w:val="21"/>
        </w:rPr>
        <w:t>提供服务</w:t>
      </w:r>
      <w:r>
        <w:rPr>
          <w:rFonts w:ascii="宋体" w:hAnsi="宋体"/>
          <w:color w:val="auto"/>
          <w:szCs w:val="21"/>
        </w:rPr>
        <w:t>的中标人</w:t>
      </w:r>
      <w:bookmarkEnd w:id="129"/>
      <w:r>
        <w:rPr>
          <w:rFonts w:hint="eastAsia" w:ascii="宋体" w:hAnsi="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8C5108">
      <w:pPr>
        <w:spacing w:line="360" w:lineRule="auto"/>
        <w:ind w:firstLine="435"/>
        <w:rPr>
          <w:rFonts w:ascii="宋体" w:hAnsi="宋体"/>
          <w:color w:val="auto"/>
          <w:szCs w:val="21"/>
        </w:rPr>
      </w:pPr>
      <w:bookmarkStart w:id="130" w:name="_Ref467379436"/>
      <w:r>
        <w:rPr>
          <w:rFonts w:hint="eastAsia" w:ascii="宋体" w:hAnsi="宋体"/>
          <w:color w:val="auto"/>
          <w:szCs w:val="21"/>
        </w:rPr>
        <w:t>2.</w:t>
      </w:r>
      <w:r>
        <w:rPr>
          <w:rFonts w:ascii="宋体" w:hAnsi="宋体"/>
          <w:color w:val="auto"/>
          <w:szCs w:val="21"/>
        </w:rPr>
        <w:t>1.</w:t>
      </w:r>
      <w:r>
        <w:rPr>
          <w:rFonts w:hint="eastAsia" w:ascii="宋体" w:hAnsi="宋体"/>
          <w:color w:val="auto"/>
          <w:szCs w:val="21"/>
        </w:rPr>
        <w:t>6</w:t>
      </w:r>
      <w:r>
        <w:rPr>
          <w:rFonts w:ascii="宋体" w:hAnsi="宋体"/>
          <w:color w:val="auto"/>
          <w:szCs w:val="21"/>
        </w:rPr>
        <w:t>“现场”系指合同约定</w:t>
      </w:r>
      <w:r>
        <w:rPr>
          <w:rFonts w:hint="eastAsia" w:ascii="宋体" w:hAnsi="宋体"/>
          <w:color w:val="auto"/>
          <w:szCs w:val="21"/>
        </w:rPr>
        <w:t>提供服务</w:t>
      </w:r>
      <w:r>
        <w:rPr>
          <w:rFonts w:ascii="宋体" w:hAnsi="宋体"/>
          <w:color w:val="auto"/>
          <w:szCs w:val="21"/>
        </w:rPr>
        <w:t>的地点。</w:t>
      </w:r>
      <w:bookmarkEnd w:id="130"/>
    </w:p>
    <w:p w14:paraId="5E18294A">
      <w:pPr>
        <w:spacing w:line="360" w:lineRule="auto"/>
        <w:ind w:firstLine="437"/>
        <w:outlineLvl w:val="3"/>
        <w:rPr>
          <w:rFonts w:ascii="宋体" w:hAnsi="宋体"/>
          <w:b/>
          <w:bCs/>
          <w:color w:val="auto"/>
          <w:szCs w:val="21"/>
          <w:lang w:val="zh-CN"/>
        </w:rPr>
      </w:pPr>
      <w:bookmarkStart w:id="131" w:name="_Toc13336"/>
      <w:bookmarkStart w:id="132" w:name="_Toc32504"/>
      <w:bookmarkStart w:id="133" w:name="_Toc279701241"/>
      <w:bookmarkStart w:id="134" w:name="_Toc259093670"/>
      <w:bookmarkStart w:id="135" w:name="_Toc27635"/>
      <w:bookmarkStart w:id="136" w:name="_Toc487900350"/>
      <w:r>
        <w:rPr>
          <w:rFonts w:hint="eastAsia" w:ascii="宋体" w:hAnsi="宋体"/>
          <w:b/>
          <w:bCs/>
          <w:color w:val="auto"/>
          <w:szCs w:val="21"/>
          <w:lang w:val="zh-CN"/>
        </w:rPr>
        <w:t>2.</w:t>
      </w:r>
      <w:r>
        <w:rPr>
          <w:rFonts w:ascii="宋体" w:hAnsi="宋体"/>
          <w:b/>
          <w:bCs/>
          <w:color w:val="auto"/>
          <w:szCs w:val="21"/>
          <w:lang w:val="zh-CN"/>
        </w:rPr>
        <w:t>2 技术规范</w:t>
      </w:r>
      <w:bookmarkEnd w:id="131"/>
      <w:bookmarkEnd w:id="132"/>
      <w:bookmarkEnd w:id="133"/>
      <w:bookmarkEnd w:id="134"/>
      <w:bookmarkEnd w:id="135"/>
      <w:bookmarkEnd w:id="136"/>
    </w:p>
    <w:p w14:paraId="3DA9D5AC">
      <w:pPr>
        <w:spacing w:line="360" w:lineRule="auto"/>
        <w:ind w:firstLine="435"/>
        <w:rPr>
          <w:rFonts w:ascii="宋体" w:hAnsi="宋体"/>
          <w:color w:val="auto"/>
          <w:szCs w:val="21"/>
        </w:rPr>
      </w:pPr>
      <w:r>
        <w:rPr>
          <w:rFonts w:ascii="宋体" w:hAnsi="宋体"/>
          <w:color w:val="auto"/>
          <w:szCs w:val="21"/>
        </w:rPr>
        <w:t>货物所应遵守的技术规范应与采购文件规定的技术规范和技术规范附件(如果有的话)及其技术规范偏差表(如果被甲方接受的话)相一致</w:t>
      </w:r>
      <w:r>
        <w:rPr>
          <w:rFonts w:hint="eastAsia" w:ascii="宋体" w:hAnsi="宋体"/>
          <w:color w:val="auto"/>
          <w:szCs w:val="21"/>
        </w:rPr>
        <w:t>；</w:t>
      </w:r>
      <w:r>
        <w:rPr>
          <w:rFonts w:ascii="宋体" w:hAnsi="宋体"/>
          <w:color w:val="auto"/>
          <w:szCs w:val="21"/>
        </w:rPr>
        <w:t>如果采购文件中没有技术规范的相应说明，那么应以国家有关部门最新颁布的相应标准</w:t>
      </w:r>
      <w:r>
        <w:rPr>
          <w:rFonts w:hint="eastAsia" w:ascii="宋体" w:hAnsi="宋体"/>
          <w:color w:val="auto"/>
          <w:szCs w:val="21"/>
        </w:rPr>
        <w:t>和</w:t>
      </w:r>
      <w:r>
        <w:rPr>
          <w:rFonts w:ascii="宋体" w:hAnsi="宋体"/>
          <w:color w:val="auto"/>
          <w:szCs w:val="21"/>
        </w:rPr>
        <w:t>规范为准。</w:t>
      </w:r>
    </w:p>
    <w:p w14:paraId="0A18EABB">
      <w:pPr>
        <w:spacing w:line="360" w:lineRule="auto"/>
        <w:ind w:firstLine="437"/>
        <w:outlineLvl w:val="3"/>
        <w:rPr>
          <w:rFonts w:ascii="宋体" w:hAnsi="宋体"/>
          <w:b/>
          <w:bCs/>
          <w:color w:val="auto"/>
          <w:szCs w:val="21"/>
          <w:lang w:val="zh-CN"/>
        </w:rPr>
      </w:pPr>
      <w:bookmarkStart w:id="137" w:name="_Toc27853"/>
      <w:bookmarkStart w:id="138" w:name="_Toc487900351"/>
      <w:bookmarkStart w:id="139" w:name="_Toc9829"/>
      <w:bookmarkStart w:id="140" w:name="_Toc31634"/>
      <w:bookmarkStart w:id="141" w:name="_Toc279701242"/>
      <w:bookmarkStart w:id="142" w:name="_Toc259093671"/>
      <w:r>
        <w:rPr>
          <w:rFonts w:hint="eastAsia" w:ascii="宋体" w:hAnsi="宋体"/>
          <w:b/>
          <w:bCs/>
          <w:color w:val="auto"/>
          <w:szCs w:val="21"/>
          <w:lang w:val="zh-CN"/>
        </w:rPr>
        <w:t>2.</w:t>
      </w:r>
      <w:r>
        <w:rPr>
          <w:rFonts w:ascii="宋体" w:hAnsi="宋体"/>
          <w:b/>
          <w:bCs/>
          <w:color w:val="auto"/>
          <w:szCs w:val="21"/>
          <w:lang w:val="zh-CN"/>
        </w:rPr>
        <w:t>3 知识产权</w:t>
      </w:r>
      <w:bookmarkEnd w:id="137"/>
      <w:bookmarkEnd w:id="138"/>
      <w:bookmarkEnd w:id="139"/>
      <w:bookmarkEnd w:id="140"/>
      <w:bookmarkEnd w:id="141"/>
      <w:bookmarkEnd w:id="142"/>
    </w:p>
    <w:p w14:paraId="19A4944D">
      <w:pPr>
        <w:spacing w:line="360" w:lineRule="auto"/>
        <w:ind w:firstLine="435"/>
        <w:rPr>
          <w:rFonts w:ascii="宋体" w:hAnsi="宋体"/>
          <w:color w:val="auto"/>
          <w:szCs w:val="21"/>
        </w:rPr>
      </w:pPr>
      <w:r>
        <w:rPr>
          <w:rFonts w:hint="eastAsia" w:ascii="宋体" w:hAnsi="宋体"/>
          <w:color w:val="auto"/>
          <w:szCs w:val="21"/>
        </w:rPr>
        <w:t>2.3.1乙</w:t>
      </w:r>
      <w:r>
        <w:rPr>
          <w:rFonts w:ascii="宋体" w:hAnsi="宋体"/>
          <w:color w:val="auto"/>
          <w:szCs w:val="21"/>
        </w:rPr>
        <w:t>方应保证</w:t>
      </w:r>
      <w:r>
        <w:rPr>
          <w:rFonts w:hint="eastAsia" w:ascii="宋体" w:hAnsi="宋体"/>
          <w:color w:val="auto"/>
          <w:szCs w:val="21"/>
        </w:rPr>
        <w:t>其提供的服务</w:t>
      </w:r>
      <w:r>
        <w:rPr>
          <w:rFonts w:ascii="宋体" w:hAnsi="宋体"/>
          <w:color w:val="auto"/>
          <w:szCs w:val="21"/>
        </w:rPr>
        <w:t>不受任何第三方提出的侵犯其著作权、商标权、专利权等知识产权方面的起诉</w:t>
      </w:r>
      <w:r>
        <w:rPr>
          <w:rFonts w:hint="eastAsia" w:ascii="宋体" w:hAnsi="宋体"/>
          <w:color w:val="auto"/>
          <w:szCs w:val="21"/>
        </w:rPr>
        <w:t>；</w:t>
      </w:r>
      <w:r>
        <w:rPr>
          <w:rFonts w:ascii="宋体" w:hAnsi="宋体"/>
          <w:color w:val="auto"/>
          <w:szCs w:val="21"/>
        </w:rPr>
        <w:t>如果任何第三方提出侵权</w:t>
      </w:r>
      <w:r>
        <w:rPr>
          <w:rFonts w:hint="eastAsia" w:ascii="宋体" w:hAnsi="宋体"/>
          <w:color w:val="auto"/>
          <w:szCs w:val="21"/>
        </w:rPr>
        <w:t>指控</w:t>
      </w:r>
      <w:r>
        <w:rPr>
          <w:rFonts w:ascii="宋体" w:hAnsi="宋体"/>
          <w:color w:val="auto"/>
          <w:szCs w:val="21"/>
        </w:rPr>
        <w:t>，那么乙方须与该第三方交涉并承担由此发生的一切责任、费用和赔偿</w:t>
      </w:r>
      <w:r>
        <w:rPr>
          <w:rFonts w:hint="eastAsia" w:ascii="宋体" w:hAnsi="宋体"/>
          <w:color w:val="auto"/>
          <w:szCs w:val="21"/>
        </w:rPr>
        <w:t>；</w:t>
      </w:r>
    </w:p>
    <w:p w14:paraId="32FF905F">
      <w:pPr>
        <w:spacing w:line="360" w:lineRule="auto"/>
        <w:ind w:firstLine="435"/>
        <w:rPr>
          <w:rFonts w:ascii="宋体" w:hAnsi="宋体"/>
          <w:color w:val="auto"/>
          <w:szCs w:val="21"/>
        </w:rPr>
      </w:pPr>
      <w:r>
        <w:rPr>
          <w:rFonts w:hint="eastAsia" w:ascii="宋体" w:hAnsi="宋体"/>
          <w:color w:val="auto"/>
          <w:szCs w:val="21"/>
        </w:rPr>
        <w:t>2.3.2具有知识产权的计算机软件等货物的知识产权归属，</w:t>
      </w: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14:paraId="11CB2693">
      <w:pPr>
        <w:spacing w:line="360" w:lineRule="auto"/>
        <w:ind w:firstLine="437"/>
        <w:outlineLvl w:val="3"/>
        <w:rPr>
          <w:rFonts w:ascii="宋体" w:hAnsi="宋体"/>
          <w:b/>
          <w:bCs/>
          <w:color w:val="auto"/>
          <w:szCs w:val="21"/>
          <w:lang w:val="zh-CN"/>
        </w:rPr>
      </w:pPr>
      <w:bookmarkStart w:id="143" w:name="_Toc279701245"/>
      <w:bookmarkStart w:id="144" w:name="_Ref467378591"/>
      <w:bookmarkStart w:id="145" w:name="_Ref467379527"/>
      <w:bookmarkStart w:id="146" w:name="_Ref467379536"/>
      <w:bookmarkStart w:id="147" w:name="_Ref467378541"/>
      <w:bookmarkStart w:id="148" w:name="_Ref467379542"/>
      <w:bookmarkStart w:id="149" w:name="_Toc259093674"/>
      <w:bookmarkStart w:id="150" w:name="_Toc487900354"/>
      <w:bookmarkStart w:id="151" w:name="_Toc30272"/>
      <w:bookmarkStart w:id="152" w:name="_Toc26182"/>
      <w:bookmarkStart w:id="153" w:name="_Toc19074"/>
      <w:r>
        <w:rPr>
          <w:rFonts w:hint="eastAsia" w:ascii="宋体" w:hAnsi="宋体"/>
          <w:b/>
          <w:bCs/>
          <w:color w:val="auto"/>
          <w:szCs w:val="21"/>
          <w:lang w:val="zh-CN"/>
        </w:rPr>
        <w:t>2.</w:t>
      </w:r>
      <w:bookmarkEnd w:id="143"/>
      <w:bookmarkEnd w:id="144"/>
      <w:bookmarkEnd w:id="145"/>
      <w:bookmarkEnd w:id="146"/>
      <w:bookmarkEnd w:id="147"/>
      <w:bookmarkEnd w:id="148"/>
      <w:bookmarkEnd w:id="149"/>
      <w:bookmarkEnd w:id="150"/>
      <w:r>
        <w:rPr>
          <w:rFonts w:ascii="宋体" w:hAnsi="宋体"/>
          <w:b/>
          <w:bCs/>
          <w:color w:val="auto"/>
          <w:szCs w:val="21"/>
          <w:lang w:val="zh-CN"/>
        </w:rPr>
        <w:t xml:space="preserve">4 </w:t>
      </w:r>
      <w:r>
        <w:rPr>
          <w:rFonts w:hint="eastAsia" w:ascii="宋体" w:hAnsi="宋体"/>
          <w:b/>
          <w:bCs/>
          <w:color w:val="auto"/>
          <w:szCs w:val="21"/>
          <w:lang w:val="zh-CN"/>
        </w:rPr>
        <w:t>履约检查和问题反馈</w:t>
      </w:r>
      <w:bookmarkEnd w:id="151"/>
      <w:bookmarkEnd w:id="152"/>
      <w:bookmarkEnd w:id="153"/>
    </w:p>
    <w:p w14:paraId="020C44F9">
      <w:pPr>
        <w:spacing w:line="360" w:lineRule="auto"/>
        <w:ind w:firstLine="435"/>
        <w:rPr>
          <w:rFonts w:ascii="宋体" w:hAnsi="宋体"/>
          <w:color w:val="auto"/>
          <w:szCs w:val="21"/>
        </w:rPr>
      </w:pPr>
      <w:bookmarkStart w:id="154" w:name="_Toc186431854"/>
      <w:bookmarkStart w:id="155" w:name="_Toc259093676"/>
      <w:bookmarkStart w:id="156" w:name="_Toc487900357"/>
      <w:bookmarkStart w:id="157" w:name="_Toc279701247"/>
      <w:bookmarkStart w:id="158" w:name="_Ref467379793"/>
      <w:bookmarkStart w:id="159" w:name="_Ref467379807"/>
      <w:r>
        <w:rPr>
          <w:rFonts w:hint="eastAsia" w:ascii="宋体" w:hAnsi="宋体"/>
          <w:color w:val="auto"/>
          <w:szCs w:val="21"/>
        </w:rPr>
        <w:t>2.4</w:t>
      </w:r>
      <w:r>
        <w:rPr>
          <w:rFonts w:ascii="宋体" w:hAnsi="宋体"/>
          <w:color w:val="auto"/>
          <w:szCs w:val="21"/>
        </w:rPr>
        <w:t>.1甲方</w:t>
      </w:r>
      <w:r>
        <w:rPr>
          <w:rFonts w:hint="eastAsia" w:ascii="宋体" w:hAnsi="宋体"/>
          <w:color w:val="auto"/>
          <w:szCs w:val="21"/>
        </w:rPr>
        <w:t>有权</w:t>
      </w:r>
      <w:r>
        <w:rPr>
          <w:rFonts w:ascii="宋体" w:hAnsi="宋体"/>
          <w:color w:val="auto"/>
          <w:szCs w:val="21"/>
        </w:rPr>
        <w:t>在其认为必要时</w:t>
      </w:r>
      <w:r>
        <w:rPr>
          <w:rFonts w:hint="eastAsia" w:ascii="宋体" w:hAnsi="宋体"/>
          <w:color w:val="auto"/>
          <w:szCs w:val="21"/>
        </w:rPr>
        <w:t>，对乙方是否能够按照合同约定提供服务进行履约检查，以确保乙方所提供的服务能够依约满足甲方项目需求，但不得因履约检查妨碍乙方的正常工作，乙方应予积极配合；</w:t>
      </w:r>
    </w:p>
    <w:p w14:paraId="68169EA0">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.2合同履行期间，甲方有权将履行过程中出现的问题反馈给乙方，双方当事人应以书面形式约定需要完善和改进的内容</w:t>
      </w:r>
      <w:bookmarkEnd w:id="154"/>
      <w:bookmarkStart w:id="160" w:name="_Toc186431855"/>
      <w:r>
        <w:rPr>
          <w:rFonts w:hint="eastAsia" w:ascii="宋体" w:hAnsi="宋体"/>
          <w:color w:val="auto"/>
          <w:szCs w:val="21"/>
        </w:rPr>
        <w:t>。</w:t>
      </w:r>
    </w:p>
    <w:bookmarkEnd w:id="160"/>
    <w:p w14:paraId="0F62B691">
      <w:pPr>
        <w:spacing w:line="360" w:lineRule="auto"/>
        <w:ind w:firstLine="437"/>
        <w:outlineLvl w:val="3"/>
        <w:rPr>
          <w:rFonts w:ascii="宋体" w:hAnsi="宋体"/>
          <w:b/>
          <w:bCs/>
          <w:color w:val="auto"/>
          <w:szCs w:val="21"/>
          <w:lang w:val="zh-CN"/>
        </w:rPr>
      </w:pPr>
      <w:bookmarkStart w:id="161" w:name="_Toc28451"/>
      <w:bookmarkStart w:id="162" w:name="_Toc19219"/>
      <w:bookmarkStart w:id="163" w:name="_Toc7836"/>
      <w:r>
        <w:rPr>
          <w:rFonts w:hint="eastAsia" w:ascii="宋体" w:hAnsi="宋体"/>
          <w:b/>
          <w:bCs/>
          <w:color w:val="auto"/>
          <w:szCs w:val="21"/>
          <w:lang w:val="zh-CN"/>
        </w:rPr>
        <w:t>2.</w:t>
      </w:r>
      <w:r>
        <w:rPr>
          <w:rFonts w:ascii="宋体" w:hAnsi="宋体"/>
          <w:b/>
          <w:bCs/>
          <w:color w:val="auto"/>
          <w:szCs w:val="21"/>
          <w:lang w:val="zh-CN"/>
        </w:rPr>
        <w:t>5</w:t>
      </w:r>
      <w:r>
        <w:rPr>
          <w:rFonts w:hint="eastAsia" w:ascii="宋体" w:hAnsi="宋体"/>
          <w:b/>
          <w:bCs/>
          <w:color w:val="auto"/>
          <w:szCs w:val="21"/>
          <w:lang w:val="zh-CN"/>
        </w:rPr>
        <w:t xml:space="preserve"> </w:t>
      </w:r>
      <w:r>
        <w:rPr>
          <w:rFonts w:ascii="宋体" w:hAnsi="宋体"/>
          <w:b/>
          <w:bCs/>
          <w:color w:val="auto"/>
          <w:szCs w:val="21"/>
          <w:lang w:val="zh-CN"/>
        </w:rPr>
        <w:t>结算方式和付款条件</w:t>
      </w:r>
      <w:bookmarkEnd w:id="155"/>
      <w:bookmarkEnd w:id="156"/>
      <w:bookmarkEnd w:id="157"/>
      <w:bookmarkEnd w:id="158"/>
      <w:bookmarkEnd w:id="159"/>
      <w:bookmarkEnd w:id="161"/>
      <w:bookmarkEnd w:id="162"/>
      <w:bookmarkEnd w:id="163"/>
    </w:p>
    <w:p w14:paraId="2A7DDD85">
      <w:pPr>
        <w:spacing w:line="360" w:lineRule="auto"/>
        <w:ind w:firstLine="435"/>
        <w:rPr>
          <w:rFonts w:ascii="宋体" w:hAnsi="宋体"/>
          <w:color w:val="auto"/>
          <w:szCs w:val="21"/>
        </w:rPr>
      </w:pP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14:paraId="6730ACE6">
      <w:pPr>
        <w:spacing w:line="360" w:lineRule="auto"/>
        <w:ind w:firstLine="437"/>
        <w:outlineLvl w:val="3"/>
        <w:rPr>
          <w:rFonts w:ascii="宋体" w:hAnsi="宋体"/>
          <w:b/>
          <w:bCs/>
          <w:color w:val="auto"/>
          <w:szCs w:val="21"/>
          <w:lang w:val="zh-CN"/>
        </w:rPr>
      </w:pPr>
      <w:bookmarkStart w:id="164" w:name="_Toc487900358"/>
      <w:bookmarkStart w:id="165" w:name="_Toc279701248"/>
      <w:bookmarkStart w:id="166" w:name="_Toc259093677"/>
      <w:bookmarkStart w:id="167" w:name="_Ref467379923"/>
      <w:bookmarkStart w:id="168" w:name="_Ref467379863"/>
      <w:bookmarkStart w:id="169" w:name="_Ref467379852"/>
      <w:bookmarkStart w:id="170" w:name="_Toc16110"/>
      <w:bookmarkStart w:id="171" w:name="_Toc774"/>
      <w:bookmarkStart w:id="172" w:name="_Toc3225"/>
      <w:r>
        <w:rPr>
          <w:rFonts w:hint="eastAsia" w:ascii="宋体" w:hAnsi="宋体"/>
          <w:b/>
          <w:bCs/>
          <w:color w:val="auto"/>
          <w:szCs w:val="21"/>
          <w:lang w:val="zh-CN"/>
        </w:rPr>
        <w:t>2.</w:t>
      </w:r>
      <w:r>
        <w:rPr>
          <w:rFonts w:ascii="宋体" w:hAnsi="宋体"/>
          <w:b/>
          <w:bCs/>
          <w:color w:val="auto"/>
          <w:szCs w:val="21"/>
          <w:lang w:val="zh-CN"/>
        </w:rPr>
        <w:t>6</w:t>
      </w:r>
      <w:r>
        <w:rPr>
          <w:rFonts w:hint="eastAsia" w:ascii="宋体" w:hAnsi="宋体"/>
          <w:b/>
          <w:bCs/>
          <w:color w:val="auto"/>
          <w:szCs w:val="21"/>
          <w:lang w:val="zh-CN"/>
        </w:rPr>
        <w:t xml:space="preserve"> </w:t>
      </w:r>
      <w:r>
        <w:rPr>
          <w:rFonts w:ascii="宋体" w:hAnsi="宋体"/>
          <w:b/>
          <w:bCs/>
          <w:color w:val="auto"/>
          <w:szCs w:val="21"/>
          <w:lang w:val="zh-CN"/>
        </w:rPr>
        <w:t>技术资料</w:t>
      </w:r>
      <w:bookmarkEnd w:id="164"/>
      <w:bookmarkEnd w:id="165"/>
      <w:bookmarkEnd w:id="166"/>
      <w:bookmarkEnd w:id="167"/>
      <w:bookmarkEnd w:id="168"/>
      <w:bookmarkEnd w:id="169"/>
      <w:r>
        <w:rPr>
          <w:rFonts w:ascii="宋体" w:hAnsi="宋体"/>
          <w:b/>
          <w:bCs/>
          <w:color w:val="auto"/>
          <w:szCs w:val="21"/>
          <w:lang w:val="zh-CN"/>
        </w:rPr>
        <w:t>和保密义务</w:t>
      </w:r>
      <w:bookmarkEnd w:id="170"/>
      <w:bookmarkEnd w:id="171"/>
      <w:bookmarkEnd w:id="172"/>
    </w:p>
    <w:p w14:paraId="4685AC4A">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6.1</w:t>
      </w:r>
      <w:r>
        <w:rPr>
          <w:rFonts w:hint="eastAsia" w:ascii="宋体" w:hAnsi="宋体"/>
          <w:color w:val="auto"/>
          <w:szCs w:val="21"/>
        </w:rPr>
        <w:t>乙方有权依据合同约定和项目需要，向甲方了解有关情况，调阅有关资料等，甲方应予积极配合；</w:t>
      </w:r>
    </w:p>
    <w:p w14:paraId="768E6474">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.2乙方有义务妥善保管和保护由甲方提供的前款信息和资料等；</w:t>
      </w:r>
    </w:p>
    <w:p w14:paraId="665406F2">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rPr>
        <w:t>技术情报</w:t>
      </w:r>
      <w:r>
        <w:rPr>
          <w:rFonts w:hint="eastAsia" w:ascii="宋体" w:hAnsi="宋体"/>
          <w:color w:val="auto"/>
          <w:szCs w:val="21"/>
        </w:rPr>
        <w:t>、</w:t>
      </w:r>
      <w:r>
        <w:rPr>
          <w:rFonts w:ascii="宋体" w:hAnsi="宋体"/>
          <w:color w:val="auto"/>
          <w:szCs w:val="21"/>
        </w:rPr>
        <w:t>技术资料</w:t>
      </w:r>
      <w:r>
        <w:rPr>
          <w:rFonts w:hint="eastAsia" w:ascii="宋体" w:hAnsi="宋体"/>
          <w:color w:val="auto"/>
          <w:szCs w:val="21"/>
        </w:rPr>
        <w:t>、商业秘密和商业信息等，并采取一切合理和必要措施和方式防止任何第三方接触到对方当事人的上述保密信息和资料。</w:t>
      </w:r>
    </w:p>
    <w:p w14:paraId="7B1CA2D4">
      <w:pPr>
        <w:spacing w:line="360" w:lineRule="auto"/>
        <w:ind w:firstLine="437"/>
        <w:outlineLvl w:val="3"/>
        <w:rPr>
          <w:rFonts w:ascii="宋体" w:hAnsi="宋体"/>
          <w:b/>
          <w:bCs/>
          <w:color w:val="auto"/>
          <w:szCs w:val="21"/>
          <w:lang w:val="zh-CN"/>
        </w:rPr>
      </w:pPr>
      <w:bookmarkStart w:id="173" w:name="_Toc7860"/>
      <w:r>
        <w:rPr>
          <w:rFonts w:ascii="宋体" w:hAnsi="宋体"/>
          <w:b/>
          <w:bCs/>
          <w:color w:val="auto"/>
          <w:szCs w:val="21"/>
          <w:lang w:val="zh-CN"/>
        </w:rPr>
        <w:t>2.7 质量保证</w:t>
      </w:r>
      <w:bookmarkEnd w:id="173"/>
    </w:p>
    <w:p w14:paraId="7FAE9897">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.1乙方应建立和完善履行合同的内部质量保证体系，并提供相关内部规章制度给甲方，以便甲方进行监督检查；</w:t>
      </w:r>
    </w:p>
    <w:p w14:paraId="3C8267CD">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.2乙方应保证履行合同的人员数量和素质、软件和硬件设备的配置、场地、环境和设施等满足全面履行合同的要求，并应接受甲方的监督检查。</w:t>
      </w:r>
    </w:p>
    <w:p w14:paraId="304E3EBB">
      <w:pPr>
        <w:spacing w:line="360" w:lineRule="auto"/>
        <w:ind w:firstLine="437"/>
        <w:outlineLvl w:val="3"/>
        <w:rPr>
          <w:rFonts w:ascii="宋体" w:hAnsi="宋体"/>
          <w:b/>
          <w:color w:val="auto"/>
          <w:szCs w:val="21"/>
        </w:rPr>
      </w:pPr>
      <w:bookmarkStart w:id="174" w:name="_Toc22267"/>
      <w:r>
        <w:rPr>
          <w:rFonts w:hint="eastAsia" w:ascii="宋体" w:hAnsi="宋体"/>
          <w:b/>
          <w:color w:val="auto"/>
          <w:szCs w:val="21"/>
        </w:rPr>
        <w:t>2.8 延迟履行</w:t>
      </w:r>
      <w:bookmarkEnd w:id="174"/>
    </w:p>
    <w:p w14:paraId="096869EE">
      <w:pPr>
        <w:spacing w:line="360" w:lineRule="auto"/>
        <w:ind w:firstLine="435"/>
        <w:rPr>
          <w:rFonts w:ascii="宋体" w:hAnsi="宋体"/>
          <w:color w:val="auto"/>
          <w:szCs w:val="21"/>
        </w:rPr>
      </w:pPr>
      <w:r>
        <w:rPr>
          <w:rFonts w:ascii="宋体" w:hAnsi="宋体"/>
          <w:color w:val="auto"/>
          <w:szCs w:val="21"/>
        </w:rPr>
        <w:t>在合同履行过程中，如果乙方遇到不能按时</w:t>
      </w:r>
      <w:r>
        <w:rPr>
          <w:rFonts w:hint="eastAsia" w:ascii="宋体" w:hAnsi="宋体"/>
          <w:color w:val="auto"/>
          <w:szCs w:val="21"/>
        </w:rPr>
        <w:t>提供服务</w:t>
      </w:r>
      <w:r>
        <w:rPr>
          <w:rFonts w:ascii="宋体" w:hAnsi="宋体"/>
          <w:color w:val="auto"/>
          <w:szCs w:val="21"/>
        </w:rPr>
        <w:t>的情况，应及时以书面形式将不能按时</w:t>
      </w:r>
      <w:r>
        <w:rPr>
          <w:rFonts w:hint="eastAsia" w:ascii="宋体" w:hAnsi="宋体"/>
          <w:color w:val="auto"/>
          <w:szCs w:val="21"/>
        </w:rPr>
        <w:t>提供服务</w:t>
      </w:r>
      <w:r>
        <w:rPr>
          <w:rFonts w:ascii="宋体" w:hAnsi="宋体"/>
          <w:color w:val="auto"/>
          <w:szCs w:val="21"/>
        </w:rPr>
        <w:t>的理由、预期延误时间通知甲方</w:t>
      </w:r>
      <w:r>
        <w:rPr>
          <w:rFonts w:hint="eastAsia" w:ascii="宋体" w:hAnsi="宋体"/>
          <w:color w:val="auto"/>
          <w:szCs w:val="21"/>
        </w:rPr>
        <w:t>；甲</w:t>
      </w:r>
      <w:r>
        <w:rPr>
          <w:rFonts w:ascii="宋体" w:hAnsi="宋体"/>
          <w:color w:val="auto"/>
          <w:szCs w:val="21"/>
        </w:rPr>
        <w:t>方收到乙方通知后，认为其理由正当的，可以书面形式酌情同意乙方可以延长</w:t>
      </w:r>
      <w:r>
        <w:rPr>
          <w:rFonts w:hint="eastAsia" w:ascii="宋体" w:hAnsi="宋体"/>
          <w:color w:val="auto"/>
          <w:szCs w:val="21"/>
        </w:rPr>
        <w:t>履行</w:t>
      </w:r>
      <w:r>
        <w:rPr>
          <w:rFonts w:ascii="宋体" w:hAnsi="宋体"/>
          <w:color w:val="auto"/>
          <w:szCs w:val="21"/>
        </w:rPr>
        <w:t>的具体时间。</w:t>
      </w:r>
    </w:p>
    <w:p w14:paraId="1D64B6AD">
      <w:pPr>
        <w:spacing w:line="360" w:lineRule="auto"/>
        <w:ind w:firstLine="437"/>
        <w:outlineLvl w:val="3"/>
        <w:rPr>
          <w:rFonts w:ascii="宋体" w:hAnsi="宋体"/>
          <w:b/>
          <w:bCs/>
          <w:color w:val="auto"/>
          <w:szCs w:val="21"/>
          <w:lang w:val="zh-CN"/>
        </w:rPr>
      </w:pPr>
      <w:bookmarkStart w:id="175" w:name="_Toc7502"/>
      <w:bookmarkStart w:id="176" w:name="_Toc259093683"/>
      <w:bookmarkStart w:id="177" w:name="_Ref467378121"/>
      <w:bookmarkStart w:id="178" w:name="_Toc487900364"/>
      <w:bookmarkStart w:id="179" w:name="_Toc279701254"/>
      <w:r>
        <w:rPr>
          <w:rFonts w:ascii="宋体" w:hAnsi="宋体"/>
          <w:b/>
          <w:bCs/>
          <w:color w:val="auto"/>
          <w:szCs w:val="21"/>
          <w:lang w:val="zh-CN"/>
        </w:rPr>
        <w:t>2.9 合同变更</w:t>
      </w:r>
      <w:bookmarkEnd w:id="175"/>
    </w:p>
    <w:p w14:paraId="2DF1D016">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.1双方当事人协商一致，可以签订书面补充合同的形式变更合同，但不得违背采购文件确定的事项；</w:t>
      </w:r>
    </w:p>
    <w:p w14:paraId="6C973F1D">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.2合同继续履行将损害国家利益和社会公共利益的，双方当事人应当以书面形式变更合同。有过错的一方应当承担赔偿责任，双方当事人都有过错的，各自承担相应的责任。</w:t>
      </w:r>
      <w:bookmarkStart w:id="180" w:name="_Toc487900369"/>
      <w:bookmarkStart w:id="181" w:name="_Toc259093688"/>
      <w:bookmarkStart w:id="182" w:name="_Toc279701259"/>
    </w:p>
    <w:p w14:paraId="3EDA8DE2">
      <w:pPr>
        <w:spacing w:line="360" w:lineRule="auto"/>
        <w:ind w:firstLine="437"/>
        <w:outlineLvl w:val="3"/>
        <w:rPr>
          <w:rFonts w:ascii="宋体" w:hAnsi="宋体"/>
          <w:b/>
          <w:bCs/>
          <w:color w:val="auto"/>
          <w:szCs w:val="21"/>
          <w:lang w:val="zh-CN"/>
        </w:rPr>
      </w:pPr>
      <w:bookmarkStart w:id="183" w:name="_Toc22955"/>
      <w:bookmarkStart w:id="184" w:name="_Toc15237"/>
      <w:bookmarkStart w:id="185" w:name="_Toc10366"/>
      <w:r>
        <w:rPr>
          <w:rFonts w:hint="eastAsia" w:ascii="宋体" w:hAnsi="宋体"/>
          <w:b/>
          <w:bCs/>
          <w:color w:val="auto"/>
          <w:szCs w:val="21"/>
          <w:lang w:val="zh-CN"/>
        </w:rPr>
        <w:t>2.1</w:t>
      </w:r>
      <w:r>
        <w:rPr>
          <w:rFonts w:ascii="宋体" w:hAnsi="宋体"/>
          <w:b/>
          <w:bCs/>
          <w:color w:val="auto"/>
          <w:szCs w:val="21"/>
          <w:lang w:val="zh-CN"/>
        </w:rPr>
        <w:t>0</w:t>
      </w:r>
      <w:r>
        <w:rPr>
          <w:rFonts w:hint="eastAsia" w:ascii="宋体" w:hAnsi="宋体"/>
          <w:b/>
          <w:bCs/>
          <w:color w:val="auto"/>
          <w:szCs w:val="21"/>
          <w:lang w:val="zh-CN"/>
        </w:rPr>
        <w:t xml:space="preserve"> </w:t>
      </w:r>
      <w:r>
        <w:rPr>
          <w:rFonts w:ascii="宋体" w:hAnsi="宋体"/>
          <w:b/>
          <w:bCs/>
          <w:color w:val="auto"/>
          <w:szCs w:val="21"/>
          <w:lang w:val="zh-CN"/>
        </w:rPr>
        <w:t>合同转让</w:t>
      </w:r>
      <w:bookmarkEnd w:id="180"/>
      <w:bookmarkEnd w:id="181"/>
      <w:bookmarkEnd w:id="182"/>
      <w:r>
        <w:rPr>
          <w:rFonts w:ascii="宋体" w:hAnsi="宋体"/>
          <w:b/>
          <w:bCs/>
          <w:color w:val="auto"/>
          <w:szCs w:val="21"/>
          <w:lang w:val="zh-CN"/>
        </w:rPr>
        <w:t>和分包</w:t>
      </w:r>
      <w:bookmarkEnd w:id="183"/>
      <w:bookmarkEnd w:id="184"/>
      <w:bookmarkEnd w:id="185"/>
    </w:p>
    <w:p w14:paraId="24213177">
      <w:pPr>
        <w:spacing w:line="360" w:lineRule="auto"/>
        <w:ind w:firstLine="435"/>
        <w:rPr>
          <w:rFonts w:ascii="宋体" w:hAnsi="宋体"/>
          <w:color w:val="auto"/>
          <w:szCs w:val="21"/>
        </w:rPr>
      </w:pPr>
      <w:r>
        <w:rPr>
          <w:rFonts w:ascii="宋体" w:hAnsi="宋体"/>
          <w:color w:val="auto"/>
          <w:szCs w:val="21"/>
        </w:rPr>
        <w:t>合同的权利义务依法不</w:t>
      </w:r>
      <w:r>
        <w:rPr>
          <w:rFonts w:hint="eastAsia" w:ascii="宋体" w:hAnsi="宋体"/>
          <w:color w:val="auto"/>
          <w:szCs w:val="21"/>
        </w:rPr>
        <w:t>得</w:t>
      </w:r>
      <w:r>
        <w:rPr>
          <w:rFonts w:ascii="宋体" w:hAnsi="宋体"/>
          <w:color w:val="auto"/>
          <w:szCs w:val="21"/>
        </w:rPr>
        <w:t>转让</w:t>
      </w:r>
      <w:r>
        <w:rPr>
          <w:rFonts w:hint="eastAsia" w:ascii="宋体" w:hAnsi="宋体"/>
          <w:color w:val="auto"/>
          <w:szCs w:val="21"/>
        </w:rPr>
        <w:t>，</w:t>
      </w:r>
      <w:r>
        <w:rPr>
          <w:rFonts w:ascii="宋体" w:hAnsi="宋体"/>
          <w:color w:val="auto"/>
          <w:szCs w:val="21"/>
        </w:rPr>
        <w:t>但经甲方</w:t>
      </w:r>
      <w:r>
        <w:rPr>
          <w:rFonts w:hint="eastAsia" w:ascii="宋体" w:hAnsi="宋体"/>
          <w:color w:val="auto"/>
          <w:szCs w:val="21"/>
        </w:rPr>
        <w:t>同意，乙方可以依法采取分包方式履行合同，即：依法可以</w:t>
      </w:r>
      <w:r>
        <w:rPr>
          <w:rFonts w:ascii="宋体" w:hAnsi="宋体"/>
          <w:color w:val="auto"/>
          <w:szCs w:val="21"/>
        </w:rPr>
        <w:t>将合同项下的部分非主体、非关键性工作分包给他人完成</w:t>
      </w:r>
      <w:r>
        <w:rPr>
          <w:rFonts w:hint="eastAsia" w:ascii="宋体" w:hAnsi="宋体"/>
          <w:color w:val="auto"/>
          <w:szCs w:val="21"/>
        </w:rPr>
        <w:t>，</w:t>
      </w:r>
      <w:r>
        <w:rPr>
          <w:rFonts w:ascii="宋体" w:hAnsi="宋体"/>
          <w:color w:val="auto"/>
          <w:szCs w:val="21"/>
        </w:rPr>
        <w:t>接受分包的人应当具备相应的资格条件，并不得再次分包</w:t>
      </w:r>
      <w:r>
        <w:rPr>
          <w:rFonts w:hint="eastAsia" w:ascii="宋体" w:hAnsi="宋体"/>
          <w:color w:val="auto"/>
          <w:szCs w:val="21"/>
        </w:rPr>
        <w:t>，</w:t>
      </w:r>
      <w:r>
        <w:rPr>
          <w:rFonts w:ascii="宋体" w:hAnsi="宋体"/>
          <w:color w:val="auto"/>
          <w:szCs w:val="21"/>
        </w:rPr>
        <w:t>且乙方应就分包项目向甲方负责</w:t>
      </w:r>
      <w:r>
        <w:rPr>
          <w:rFonts w:hint="eastAsia" w:ascii="宋体" w:hAnsi="宋体"/>
          <w:color w:val="auto"/>
          <w:szCs w:val="21"/>
        </w:rPr>
        <w:t>，</w:t>
      </w:r>
      <w:r>
        <w:rPr>
          <w:rFonts w:ascii="宋体" w:hAnsi="宋体"/>
          <w:color w:val="auto"/>
          <w:szCs w:val="21"/>
        </w:rPr>
        <w:t>并</w:t>
      </w:r>
      <w:r>
        <w:rPr>
          <w:rFonts w:hint="eastAsia" w:ascii="宋体" w:hAnsi="宋体"/>
          <w:color w:val="auto"/>
          <w:szCs w:val="21"/>
        </w:rPr>
        <w:t>与分包供应商就分包项目向甲方承担连带责任。</w:t>
      </w:r>
    </w:p>
    <w:p w14:paraId="5D418055">
      <w:pPr>
        <w:spacing w:line="360" w:lineRule="auto"/>
        <w:ind w:firstLine="437"/>
        <w:outlineLvl w:val="3"/>
        <w:rPr>
          <w:rFonts w:ascii="宋体" w:hAnsi="宋体"/>
          <w:b/>
          <w:bCs/>
          <w:color w:val="auto"/>
          <w:szCs w:val="21"/>
          <w:lang w:val="zh-CN"/>
        </w:rPr>
      </w:pPr>
      <w:bookmarkStart w:id="186" w:name="_Toc13566"/>
      <w:bookmarkStart w:id="187" w:name="_Toc14066"/>
      <w:bookmarkStart w:id="188" w:name="_Toc16508"/>
      <w:r>
        <w:rPr>
          <w:rFonts w:hint="eastAsia" w:ascii="宋体" w:hAnsi="宋体"/>
          <w:b/>
          <w:bCs/>
          <w:color w:val="auto"/>
          <w:szCs w:val="21"/>
          <w:lang w:val="zh-CN"/>
        </w:rPr>
        <w:t>2.1</w:t>
      </w:r>
      <w:r>
        <w:rPr>
          <w:rFonts w:ascii="宋体" w:hAnsi="宋体"/>
          <w:b/>
          <w:bCs/>
          <w:color w:val="auto"/>
          <w:szCs w:val="21"/>
          <w:lang w:val="zh-CN"/>
        </w:rPr>
        <w:t>1 不可抗力</w:t>
      </w:r>
      <w:bookmarkEnd w:id="186"/>
      <w:bookmarkEnd w:id="187"/>
      <w:bookmarkEnd w:id="188"/>
    </w:p>
    <w:p w14:paraId="3759E938">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1.1如果任何一方遭遇法律规定的不可抗力，致使合同履行受阻时，履行合同的期限应予延长，延长的期限应相当于不可抗力所影响的时间</w:t>
      </w:r>
      <w:r>
        <w:rPr>
          <w:rFonts w:hint="eastAsia" w:ascii="宋体" w:hAnsi="宋体"/>
          <w:color w:val="auto"/>
          <w:szCs w:val="21"/>
        </w:rPr>
        <w:t>；</w:t>
      </w:r>
    </w:p>
    <w:p w14:paraId="3C78D8C1">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.2因不可抗力致使不能实现合同目的的，当事人可以解除合同；</w:t>
      </w:r>
    </w:p>
    <w:p w14:paraId="08A6F12B">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.3因</w:t>
      </w:r>
      <w:r>
        <w:rPr>
          <w:rFonts w:ascii="宋体" w:hAnsi="宋体"/>
          <w:color w:val="auto"/>
          <w:szCs w:val="21"/>
        </w:rPr>
        <w:t>不可抗力致使合同有变更必要的，双方当事人应在</w:t>
      </w:r>
      <w:r>
        <w:rPr>
          <w:rFonts w:ascii="宋体" w:hAnsi="宋体"/>
          <w:b/>
          <w:i/>
          <w:color w:val="auto"/>
          <w:szCs w:val="21"/>
          <w:u w:val="single"/>
        </w:rPr>
        <w:t>合同专用条款</w:t>
      </w:r>
      <w:r>
        <w:rPr>
          <w:rFonts w:ascii="宋体" w:hAnsi="宋体"/>
          <w:color w:val="auto"/>
          <w:szCs w:val="21"/>
        </w:rPr>
        <w:t>约定时间内以书面形式变更合同</w:t>
      </w:r>
      <w:r>
        <w:rPr>
          <w:rFonts w:hint="eastAsia" w:ascii="宋体" w:hAnsi="宋体"/>
          <w:color w:val="auto"/>
          <w:szCs w:val="21"/>
        </w:rPr>
        <w:t>；</w:t>
      </w:r>
    </w:p>
    <w:p w14:paraId="663A7F5F">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4</w:t>
      </w:r>
      <w:r>
        <w:rPr>
          <w:rFonts w:ascii="宋体" w:hAnsi="宋体"/>
          <w:color w:val="auto"/>
          <w:szCs w:val="21"/>
        </w:rPr>
        <w:t>受</w:t>
      </w:r>
      <w:r>
        <w:rPr>
          <w:rFonts w:hint="eastAsia" w:ascii="宋体" w:hAnsi="宋体"/>
          <w:color w:val="auto"/>
          <w:szCs w:val="21"/>
        </w:rPr>
        <w:t>不可抗力</w:t>
      </w:r>
      <w:r>
        <w:rPr>
          <w:rFonts w:ascii="宋体" w:hAnsi="宋体"/>
          <w:color w:val="auto"/>
          <w:szCs w:val="21"/>
        </w:rPr>
        <w:t>影响的一方在不可抗力发生后</w:t>
      </w:r>
      <w:r>
        <w:rPr>
          <w:rFonts w:hint="eastAsia" w:ascii="宋体" w:hAnsi="宋体"/>
          <w:color w:val="auto"/>
          <w:szCs w:val="21"/>
        </w:rPr>
        <w:t>，</w:t>
      </w:r>
      <w:r>
        <w:rPr>
          <w:rFonts w:ascii="宋体" w:hAnsi="宋体"/>
          <w:color w:val="auto"/>
          <w:szCs w:val="21"/>
        </w:rPr>
        <w:t>应在</w:t>
      </w:r>
      <w:r>
        <w:rPr>
          <w:rFonts w:ascii="宋体" w:hAnsi="宋体"/>
          <w:b/>
          <w:i/>
          <w:color w:val="auto"/>
          <w:szCs w:val="21"/>
          <w:u w:val="single"/>
        </w:rPr>
        <w:t>合同专用条款</w:t>
      </w:r>
      <w:r>
        <w:rPr>
          <w:rFonts w:ascii="宋体" w:hAnsi="宋体"/>
          <w:color w:val="auto"/>
          <w:szCs w:val="21"/>
        </w:rPr>
        <w:t>约定时间内以书面形式通知</w:t>
      </w:r>
      <w:r>
        <w:rPr>
          <w:rFonts w:hint="eastAsia" w:ascii="宋体" w:hAnsi="宋体"/>
          <w:color w:val="auto"/>
          <w:szCs w:val="21"/>
        </w:rPr>
        <w:t>对</w:t>
      </w:r>
      <w:r>
        <w:rPr>
          <w:rFonts w:ascii="宋体" w:hAnsi="宋体"/>
          <w:color w:val="auto"/>
          <w:szCs w:val="21"/>
        </w:rPr>
        <w:t>方当事人，并在</w:t>
      </w:r>
      <w:r>
        <w:rPr>
          <w:rFonts w:ascii="宋体" w:hAnsi="宋体"/>
          <w:b/>
          <w:i/>
          <w:color w:val="auto"/>
          <w:szCs w:val="21"/>
          <w:u w:val="single"/>
        </w:rPr>
        <w:t>合同专用条款</w:t>
      </w:r>
      <w:r>
        <w:rPr>
          <w:rFonts w:ascii="宋体" w:hAnsi="宋体"/>
          <w:color w:val="auto"/>
          <w:szCs w:val="21"/>
        </w:rPr>
        <w:t>约定时间内，将有关部门出具的证明文件送达</w:t>
      </w:r>
      <w:r>
        <w:rPr>
          <w:rFonts w:hint="eastAsia" w:ascii="宋体" w:hAnsi="宋体"/>
          <w:color w:val="auto"/>
          <w:szCs w:val="21"/>
        </w:rPr>
        <w:t>对方当事人</w:t>
      </w:r>
      <w:r>
        <w:rPr>
          <w:rFonts w:ascii="宋体" w:hAnsi="宋体"/>
          <w:color w:val="auto"/>
          <w:szCs w:val="21"/>
        </w:rPr>
        <w:t>。</w:t>
      </w:r>
    </w:p>
    <w:p w14:paraId="78932254">
      <w:pPr>
        <w:spacing w:line="360" w:lineRule="auto"/>
        <w:ind w:firstLine="437"/>
        <w:outlineLvl w:val="3"/>
        <w:rPr>
          <w:rFonts w:ascii="宋体" w:hAnsi="宋体"/>
          <w:b/>
          <w:bCs/>
          <w:color w:val="auto"/>
          <w:szCs w:val="21"/>
          <w:lang w:val="zh-CN"/>
        </w:rPr>
      </w:pPr>
      <w:bookmarkStart w:id="189" w:name="_Toc689"/>
      <w:bookmarkStart w:id="190" w:name="_Toc279701255"/>
      <w:bookmarkStart w:id="191" w:name="_Toc487900365"/>
      <w:bookmarkStart w:id="192" w:name="_Toc30676"/>
      <w:bookmarkStart w:id="193" w:name="_Toc6969"/>
      <w:bookmarkStart w:id="194" w:name="_Toc259093684"/>
      <w:r>
        <w:rPr>
          <w:rFonts w:hint="eastAsia" w:ascii="宋体" w:hAnsi="宋体"/>
          <w:b/>
          <w:bCs/>
          <w:color w:val="auto"/>
          <w:szCs w:val="21"/>
          <w:lang w:val="zh-CN"/>
        </w:rPr>
        <w:t>2.</w:t>
      </w:r>
      <w:r>
        <w:rPr>
          <w:rFonts w:ascii="宋体" w:hAnsi="宋体"/>
          <w:b/>
          <w:bCs/>
          <w:color w:val="auto"/>
          <w:szCs w:val="21"/>
          <w:lang w:val="zh-CN"/>
        </w:rPr>
        <w:t>12</w:t>
      </w:r>
      <w:r>
        <w:rPr>
          <w:rFonts w:hint="eastAsia" w:ascii="宋体" w:hAnsi="宋体"/>
          <w:b/>
          <w:bCs/>
          <w:color w:val="auto"/>
          <w:szCs w:val="21"/>
          <w:lang w:val="zh-CN"/>
        </w:rPr>
        <w:t xml:space="preserve"> </w:t>
      </w:r>
      <w:r>
        <w:rPr>
          <w:rFonts w:ascii="宋体" w:hAnsi="宋体"/>
          <w:b/>
          <w:bCs/>
          <w:color w:val="auto"/>
          <w:szCs w:val="21"/>
          <w:lang w:val="zh-CN"/>
        </w:rPr>
        <w:t>税费</w:t>
      </w:r>
      <w:bookmarkEnd w:id="189"/>
      <w:bookmarkEnd w:id="190"/>
      <w:bookmarkEnd w:id="191"/>
      <w:bookmarkEnd w:id="192"/>
      <w:bookmarkEnd w:id="193"/>
      <w:bookmarkEnd w:id="194"/>
    </w:p>
    <w:p w14:paraId="57C5C062">
      <w:pPr>
        <w:spacing w:line="360" w:lineRule="auto"/>
        <w:ind w:firstLine="435"/>
        <w:rPr>
          <w:rFonts w:ascii="宋体" w:hAnsi="宋体"/>
          <w:color w:val="auto"/>
          <w:szCs w:val="21"/>
        </w:rPr>
      </w:pPr>
      <w:r>
        <w:rPr>
          <w:rFonts w:ascii="宋体" w:hAnsi="宋体"/>
          <w:color w:val="auto"/>
          <w:szCs w:val="21"/>
        </w:rPr>
        <w:t>与合同有关的一切税费</w:t>
      </w:r>
      <w:r>
        <w:rPr>
          <w:rFonts w:hint="eastAsia" w:ascii="宋体" w:hAnsi="宋体"/>
          <w:color w:val="auto"/>
          <w:szCs w:val="21"/>
        </w:rPr>
        <w:t>，</w:t>
      </w:r>
      <w:r>
        <w:rPr>
          <w:rFonts w:ascii="宋体" w:hAnsi="宋体"/>
          <w:color w:val="auto"/>
          <w:szCs w:val="21"/>
        </w:rPr>
        <w:t>均按照中华人民共和国法律的相关规定</w:t>
      </w:r>
      <w:r>
        <w:rPr>
          <w:rFonts w:hint="eastAsia" w:ascii="宋体" w:hAnsi="宋体"/>
          <w:color w:val="auto"/>
          <w:szCs w:val="21"/>
        </w:rPr>
        <w:t>缴纳</w:t>
      </w:r>
      <w:r>
        <w:rPr>
          <w:rFonts w:ascii="宋体" w:hAnsi="宋体"/>
          <w:color w:val="auto"/>
          <w:szCs w:val="21"/>
        </w:rPr>
        <w:t>。</w:t>
      </w:r>
    </w:p>
    <w:p w14:paraId="79C655EF">
      <w:pPr>
        <w:spacing w:line="360" w:lineRule="auto"/>
        <w:ind w:firstLine="437"/>
        <w:outlineLvl w:val="3"/>
        <w:rPr>
          <w:rFonts w:ascii="宋体" w:hAnsi="宋体"/>
          <w:b/>
          <w:bCs/>
          <w:color w:val="auto"/>
          <w:szCs w:val="21"/>
          <w:lang w:val="zh-CN"/>
        </w:rPr>
      </w:pPr>
      <w:bookmarkStart w:id="195" w:name="_Toc487900368"/>
      <w:bookmarkStart w:id="196" w:name="_Toc279701258"/>
      <w:bookmarkStart w:id="197" w:name="_Toc16959"/>
      <w:bookmarkStart w:id="198" w:name="_Toc7102"/>
      <w:bookmarkStart w:id="199" w:name="_Toc259093687"/>
      <w:bookmarkStart w:id="200" w:name="_Toc8298"/>
      <w:r>
        <w:rPr>
          <w:rFonts w:hint="eastAsia" w:ascii="宋体" w:hAnsi="宋体"/>
          <w:b/>
          <w:bCs/>
          <w:color w:val="auto"/>
          <w:szCs w:val="21"/>
          <w:lang w:val="zh-CN"/>
        </w:rPr>
        <w:t>2.</w:t>
      </w:r>
      <w:r>
        <w:rPr>
          <w:rFonts w:ascii="宋体" w:hAnsi="宋体"/>
          <w:b/>
          <w:bCs/>
          <w:color w:val="auto"/>
          <w:szCs w:val="21"/>
          <w:lang w:val="zh-CN"/>
        </w:rPr>
        <w:t>13</w:t>
      </w:r>
      <w:r>
        <w:rPr>
          <w:rFonts w:hint="eastAsia" w:ascii="宋体" w:hAnsi="宋体"/>
          <w:b/>
          <w:bCs/>
          <w:color w:val="auto"/>
          <w:szCs w:val="21"/>
          <w:lang w:val="zh-CN"/>
        </w:rPr>
        <w:t xml:space="preserve"> </w:t>
      </w:r>
      <w:r>
        <w:rPr>
          <w:rFonts w:ascii="宋体" w:hAnsi="宋体"/>
          <w:b/>
          <w:bCs/>
          <w:color w:val="auto"/>
          <w:szCs w:val="21"/>
          <w:lang w:val="zh-CN"/>
        </w:rPr>
        <w:t>乙方破产</w:t>
      </w:r>
      <w:bookmarkEnd w:id="195"/>
      <w:bookmarkEnd w:id="196"/>
      <w:bookmarkEnd w:id="197"/>
      <w:bookmarkEnd w:id="198"/>
      <w:bookmarkEnd w:id="199"/>
      <w:bookmarkEnd w:id="200"/>
    </w:p>
    <w:p w14:paraId="71819D93">
      <w:pPr>
        <w:spacing w:line="360" w:lineRule="auto"/>
        <w:ind w:firstLine="435"/>
        <w:rPr>
          <w:rFonts w:ascii="宋体" w:hAnsi="宋体"/>
          <w:color w:val="auto"/>
          <w:szCs w:val="21"/>
        </w:rPr>
      </w:pPr>
      <w:r>
        <w:rPr>
          <w:rFonts w:ascii="宋体" w:hAnsi="宋体"/>
          <w:color w:val="auto"/>
          <w:szCs w:val="21"/>
        </w:rPr>
        <w:t>如果乙方破产导致合同无法履行时，甲方可以书面形式通知乙方终止合同且不给予乙方任何补偿和赔偿</w:t>
      </w:r>
      <w:r>
        <w:rPr>
          <w:rFonts w:hint="eastAsia" w:ascii="宋体" w:hAnsi="宋体"/>
          <w:color w:val="auto"/>
          <w:szCs w:val="21"/>
        </w:rPr>
        <w:t>，但合同的</w:t>
      </w:r>
      <w:r>
        <w:rPr>
          <w:rFonts w:ascii="宋体" w:hAnsi="宋体"/>
          <w:color w:val="auto"/>
          <w:szCs w:val="21"/>
        </w:rPr>
        <w:t>终止不损害或不影响甲方已经采取或将要采取的任何要求乙方支付违约金</w:t>
      </w:r>
      <w:r>
        <w:rPr>
          <w:rFonts w:hint="eastAsia" w:ascii="宋体" w:hAnsi="宋体"/>
          <w:color w:val="auto"/>
          <w:szCs w:val="21"/>
        </w:rPr>
        <w:t>、</w:t>
      </w:r>
      <w:r>
        <w:rPr>
          <w:rFonts w:ascii="宋体" w:hAnsi="宋体"/>
          <w:color w:val="auto"/>
          <w:szCs w:val="21"/>
        </w:rPr>
        <w:t>赔偿损失等的行动或补救措施的权利</w:t>
      </w:r>
      <w:r>
        <w:rPr>
          <w:rFonts w:hint="eastAsia" w:ascii="宋体" w:hAnsi="宋体"/>
          <w:color w:val="auto"/>
          <w:szCs w:val="21"/>
        </w:rPr>
        <w:t>。</w:t>
      </w:r>
    </w:p>
    <w:p w14:paraId="67EEDC4F">
      <w:pPr>
        <w:spacing w:line="360" w:lineRule="auto"/>
        <w:ind w:firstLine="437"/>
        <w:outlineLvl w:val="3"/>
        <w:rPr>
          <w:rFonts w:ascii="宋体" w:hAnsi="宋体"/>
          <w:b/>
          <w:color w:val="auto"/>
          <w:szCs w:val="21"/>
        </w:rPr>
      </w:pPr>
      <w:bookmarkStart w:id="201" w:name="_Toc29333"/>
      <w:bookmarkStart w:id="202" w:name="_Toc6134"/>
      <w:bookmarkStart w:id="203" w:name="_Toc15387"/>
      <w:r>
        <w:rPr>
          <w:rFonts w:hint="eastAsia" w:ascii="宋体" w:hAnsi="宋体"/>
          <w:b/>
          <w:bCs/>
          <w:color w:val="auto"/>
          <w:szCs w:val="21"/>
          <w:lang w:val="zh-CN"/>
        </w:rPr>
        <w:t>2.1</w:t>
      </w:r>
      <w:r>
        <w:rPr>
          <w:rFonts w:ascii="宋体" w:hAnsi="宋体"/>
          <w:b/>
          <w:bCs/>
          <w:color w:val="auto"/>
          <w:szCs w:val="21"/>
          <w:lang w:val="zh-CN"/>
        </w:rPr>
        <w:t>4</w:t>
      </w:r>
      <w:r>
        <w:rPr>
          <w:rFonts w:hint="eastAsia" w:ascii="宋体" w:hAnsi="宋体"/>
          <w:b/>
          <w:bCs/>
          <w:color w:val="auto"/>
          <w:szCs w:val="21"/>
          <w:lang w:val="zh-CN"/>
        </w:rPr>
        <w:t xml:space="preserve"> 合同中止、终止</w:t>
      </w:r>
      <w:bookmarkEnd w:id="201"/>
      <w:bookmarkEnd w:id="202"/>
      <w:bookmarkEnd w:id="203"/>
    </w:p>
    <w:p w14:paraId="2B9C3514">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.1双方当事人不得擅自中止或者终止合同；</w:t>
      </w:r>
    </w:p>
    <w:p w14:paraId="66ADD42C">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.2合同继续履行将损害国家利益和社会公共利益的，双方当事人应当中止或者终止合同。有过错的一方应当承担赔偿责任，双方当事人都有过错的，各自承担相应的责任。</w:t>
      </w:r>
    </w:p>
    <w:p w14:paraId="1B3715BE">
      <w:pPr>
        <w:spacing w:line="360" w:lineRule="auto"/>
        <w:ind w:firstLine="437"/>
        <w:outlineLvl w:val="3"/>
        <w:rPr>
          <w:rFonts w:ascii="宋体" w:hAnsi="宋体"/>
          <w:b/>
          <w:bCs/>
          <w:color w:val="auto"/>
          <w:szCs w:val="21"/>
          <w:lang w:val="zh-CN"/>
        </w:rPr>
      </w:pPr>
      <w:bookmarkStart w:id="204" w:name="_Toc6596"/>
      <w:bookmarkStart w:id="205" w:name="_Toc1125"/>
      <w:bookmarkStart w:id="206" w:name="_Toc14563"/>
      <w:r>
        <w:rPr>
          <w:rFonts w:hint="eastAsia" w:ascii="宋体" w:hAnsi="宋体"/>
          <w:b/>
          <w:bCs/>
          <w:color w:val="auto"/>
          <w:szCs w:val="21"/>
          <w:lang w:val="zh-CN"/>
        </w:rPr>
        <w:t>2.1</w:t>
      </w:r>
      <w:r>
        <w:rPr>
          <w:rFonts w:ascii="宋体" w:hAnsi="宋体"/>
          <w:b/>
          <w:bCs/>
          <w:color w:val="auto"/>
          <w:szCs w:val="21"/>
          <w:lang w:val="zh-CN"/>
        </w:rPr>
        <w:t>5</w:t>
      </w:r>
      <w:r>
        <w:rPr>
          <w:rFonts w:hint="eastAsia" w:ascii="宋体" w:hAnsi="宋体"/>
          <w:b/>
          <w:bCs/>
          <w:color w:val="auto"/>
          <w:szCs w:val="21"/>
          <w:lang w:val="zh-CN"/>
        </w:rPr>
        <w:t xml:space="preserve"> 检验和验收</w:t>
      </w:r>
      <w:bookmarkEnd w:id="204"/>
      <w:bookmarkEnd w:id="205"/>
      <w:bookmarkEnd w:id="206"/>
    </w:p>
    <w:p w14:paraId="5CC7CCAD">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1乙方按照</w:t>
      </w:r>
      <w:r>
        <w:rPr>
          <w:rFonts w:ascii="宋体" w:hAnsi="宋体"/>
          <w:b/>
          <w:i/>
          <w:color w:val="auto"/>
          <w:szCs w:val="21"/>
          <w:u w:val="single"/>
        </w:rPr>
        <w:t>合同专用条款</w:t>
      </w:r>
      <w:r>
        <w:rPr>
          <w:rFonts w:ascii="宋体" w:hAnsi="宋体"/>
          <w:color w:val="auto"/>
          <w:szCs w:val="21"/>
        </w:rPr>
        <w:t>的约定</w:t>
      </w:r>
      <w:r>
        <w:rPr>
          <w:rFonts w:hint="eastAsia" w:ascii="宋体" w:hAnsi="宋体"/>
          <w:color w:val="auto"/>
          <w:szCs w:val="21"/>
        </w:rPr>
        <w:t>，</w:t>
      </w:r>
      <w:r>
        <w:rPr>
          <w:rFonts w:ascii="宋体" w:hAnsi="宋体"/>
          <w:color w:val="auto"/>
          <w:szCs w:val="21"/>
        </w:rPr>
        <w:t>定期提交服务报告</w:t>
      </w:r>
      <w:r>
        <w:rPr>
          <w:rFonts w:hint="eastAsia" w:ascii="宋体" w:hAnsi="宋体"/>
          <w:color w:val="auto"/>
          <w:szCs w:val="21"/>
        </w:rPr>
        <w:t>，甲方按照</w:t>
      </w:r>
      <w:r>
        <w:rPr>
          <w:rFonts w:ascii="宋体" w:hAnsi="宋体"/>
          <w:b/>
          <w:i/>
          <w:color w:val="auto"/>
          <w:szCs w:val="21"/>
          <w:u w:val="single"/>
        </w:rPr>
        <w:t>合同专用条款</w:t>
      </w:r>
      <w:r>
        <w:rPr>
          <w:rFonts w:ascii="宋体" w:hAnsi="宋体"/>
          <w:color w:val="auto"/>
          <w:szCs w:val="21"/>
        </w:rPr>
        <w:t>的约定进行定期验收</w:t>
      </w:r>
      <w:r>
        <w:rPr>
          <w:rFonts w:hint="eastAsia" w:ascii="宋体" w:hAnsi="宋体"/>
          <w:color w:val="auto"/>
          <w:szCs w:val="21"/>
        </w:rPr>
        <w:t>；</w:t>
      </w:r>
    </w:p>
    <w:p w14:paraId="62B7D9F9">
      <w:pPr>
        <w:spacing w:line="360" w:lineRule="auto"/>
        <w:ind w:firstLine="435"/>
        <w:rPr>
          <w:rFonts w:ascii="宋体" w:hAnsi="宋体"/>
          <w:color w:val="auto"/>
          <w:szCs w:val="21"/>
        </w:rPr>
      </w:pPr>
      <w:r>
        <w:rPr>
          <w:rFonts w:hint="eastAsia" w:ascii="宋体" w:hAnsi="宋体"/>
          <w:color w:val="auto"/>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2B5C6E">
      <w:pPr>
        <w:spacing w:line="360" w:lineRule="auto"/>
        <w:ind w:firstLine="435"/>
        <w:rPr>
          <w:rFonts w:ascii="宋体" w:hAnsi="宋体"/>
          <w:color w:val="auto"/>
          <w:szCs w:val="21"/>
        </w:rPr>
      </w:pPr>
      <w:r>
        <w:rPr>
          <w:rFonts w:hint="eastAsia" w:ascii="宋体" w:hAnsi="宋体"/>
          <w:color w:val="auto"/>
          <w:szCs w:val="21"/>
        </w:rPr>
        <w:t>2.15.3检验和验收标准、程序等具体内容以及前述验收书的效力详见</w:t>
      </w:r>
      <w:r>
        <w:rPr>
          <w:rFonts w:ascii="宋体" w:hAnsi="宋体"/>
          <w:b/>
          <w:i/>
          <w:color w:val="auto"/>
          <w:szCs w:val="21"/>
          <w:u w:val="single"/>
        </w:rPr>
        <w:t>合同专用条款</w:t>
      </w:r>
      <w:r>
        <w:rPr>
          <w:rFonts w:hint="eastAsia" w:ascii="宋体" w:hAnsi="宋体"/>
          <w:i/>
          <w:color w:val="auto"/>
          <w:szCs w:val="21"/>
        </w:rPr>
        <w:t>。</w:t>
      </w:r>
    </w:p>
    <w:bookmarkEnd w:id="176"/>
    <w:bookmarkEnd w:id="177"/>
    <w:bookmarkEnd w:id="178"/>
    <w:bookmarkEnd w:id="179"/>
    <w:p w14:paraId="01187187">
      <w:pPr>
        <w:spacing w:line="360" w:lineRule="auto"/>
        <w:ind w:firstLine="437"/>
        <w:outlineLvl w:val="3"/>
        <w:rPr>
          <w:rFonts w:ascii="宋体" w:hAnsi="宋体"/>
          <w:b/>
          <w:bCs/>
          <w:color w:val="auto"/>
          <w:szCs w:val="21"/>
        </w:rPr>
      </w:pPr>
      <w:bookmarkStart w:id="207" w:name="_Toc259093692"/>
      <w:bookmarkStart w:id="208" w:name="_Toc18567"/>
      <w:bookmarkStart w:id="209" w:name="_Toc12773"/>
      <w:bookmarkStart w:id="210" w:name="_Toc279701263"/>
      <w:bookmarkStart w:id="211" w:name="_Toc10330"/>
      <w:bookmarkStart w:id="212" w:name="_Toc487900373"/>
      <w:r>
        <w:rPr>
          <w:rFonts w:hint="eastAsia" w:ascii="宋体" w:hAnsi="宋体"/>
          <w:b/>
          <w:bCs/>
          <w:color w:val="auto"/>
          <w:szCs w:val="21"/>
        </w:rPr>
        <w:t>2.</w:t>
      </w:r>
      <w:r>
        <w:rPr>
          <w:rFonts w:ascii="宋体" w:hAnsi="宋体"/>
          <w:b/>
          <w:bCs/>
          <w:color w:val="auto"/>
          <w:szCs w:val="21"/>
        </w:rPr>
        <w:t>16</w:t>
      </w:r>
      <w:r>
        <w:rPr>
          <w:rFonts w:hint="eastAsia" w:ascii="宋体" w:hAnsi="宋体"/>
          <w:b/>
          <w:bCs/>
          <w:color w:val="auto"/>
          <w:szCs w:val="21"/>
        </w:rPr>
        <w:t xml:space="preserve"> </w:t>
      </w:r>
      <w:r>
        <w:rPr>
          <w:rFonts w:hint="eastAsia" w:ascii="宋体" w:hAnsi="宋体"/>
          <w:b/>
          <w:bCs/>
          <w:color w:val="auto"/>
          <w:szCs w:val="21"/>
          <w:lang w:val="zh-CN"/>
        </w:rPr>
        <w:t>合同使用的文字和</w:t>
      </w:r>
      <w:r>
        <w:rPr>
          <w:rFonts w:ascii="宋体" w:hAnsi="宋体"/>
          <w:b/>
          <w:bCs/>
          <w:color w:val="auto"/>
          <w:szCs w:val="21"/>
          <w:lang w:val="zh-CN"/>
        </w:rPr>
        <w:t>适用的法律</w:t>
      </w:r>
      <w:bookmarkEnd w:id="207"/>
      <w:bookmarkEnd w:id="208"/>
      <w:bookmarkEnd w:id="209"/>
      <w:bookmarkEnd w:id="210"/>
      <w:bookmarkEnd w:id="211"/>
      <w:bookmarkEnd w:id="212"/>
    </w:p>
    <w:p w14:paraId="65EA241A">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16.1合同使用汉语</w:t>
      </w:r>
      <w:r>
        <w:rPr>
          <w:rFonts w:hint="eastAsia" w:ascii="宋体" w:hAnsi="宋体"/>
          <w:color w:val="auto"/>
          <w:szCs w:val="21"/>
        </w:rPr>
        <w:t>进行</w:t>
      </w:r>
      <w:r>
        <w:rPr>
          <w:rFonts w:ascii="宋体" w:hAnsi="宋体"/>
          <w:color w:val="auto"/>
          <w:szCs w:val="21"/>
        </w:rPr>
        <w:t>书</w:t>
      </w:r>
      <w:r>
        <w:rPr>
          <w:rFonts w:hint="eastAsia" w:ascii="宋体" w:hAnsi="宋体"/>
          <w:color w:val="auto"/>
          <w:szCs w:val="21"/>
        </w:rPr>
        <w:t>写、</w:t>
      </w:r>
      <w:r>
        <w:rPr>
          <w:rFonts w:ascii="宋体" w:hAnsi="宋体"/>
          <w:color w:val="auto"/>
          <w:szCs w:val="21"/>
        </w:rPr>
        <w:t>变更和解释</w:t>
      </w:r>
      <w:r>
        <w:rPr>
          <w:rFonts w:hint="eastAsia" w:ascii="宋体" w:hAnsi="宋体"/>
          <w:color w:val="auto"/>
          <w:szCs w:val="21"/>
        </w:rPr>
        <w:t>；</w:t>
      </w:r>
    </w:p>
    <w:p w14:paraId="5CDE1CD5">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w:t>
      </w:r>
      <w:r>
        <w:rPr>
          <w:rFonts w:hint="eastAsia" w:ascii="宋体" w:hAnsi="宋体"/>
          <w:color w:val="auto"/>
          <w:szCs w:val="21"/>
        </w:rPr>
        <w:t>.2合同适用</w:t>
      </w:r>
      <w:r>
        <w:rPr>
          <w:rFonts w:ascii="宋体" w:hAnsi="宋体"/>
          <w:color w:val="auto"/>
          <w:szCs w:val="21"/>
        </w:rPr>
        <w:t>中华人民共和国法律。</w:t>
      </w:r>
    </w:p>
    <w:p w14:paraId="7FDEE1CA">
      <w:pPr>
        <w:spacing w:line="360" w:lineRule="auto"/>
        <w:ind w:firstLine="437"/>
        <w:outlineLvl w:val="3"/>
        <w:rPr>
          <w:rFonts w:ascii="宋体" w:hAnsi="宋体"/>
          <w:b/>
          <w:color w:val="auto"/>
          <w:szCs w:val="21"/>
        </w:rPr>
      </w:pPr>
      <w:bookmarkStart w:id="213" w:name="_Toc14001"/>
      <w:bookmarkStart w:id="214" w:name="_Toc6885"/>
      <w:bookmarkStart w:id="215" w:name="_Toc19890"/>
      <w:r>
        <w:rPr>
          <w:rFonts w:hint="eastAsia" w:ascii="宋体" w:hAnsi="宋体"/>
          <w:b/>
          <w:bCs/>
          <w:color w:val="auto"/>
          <w:szCs w:val="21"/>
          <w:lang w:val="zh-CN"/>
        </w:rPr>
        <w:t>2.</w:t>
      </w:r>
      <w:r>
        <w:rPr>
          <w:rFonts w:ascii="宋体" w:hAnsi="宋体"/>
          <w:b/>
          <w:bCs/>
          <w:color w:val="auto"/>
          <w:szCs w:val="21"/>
          <w:lang w:val="zh-CN"/>
        </w:rPr>
        <w:t>1</w:t>
      </w:r>
      <w:r>
        <w:rPr>
          <w:rFonts w:hint="eastAsia" w:ascii="宋体" w:hAnsi="宋体"/>
          <w:b/>
          <w:bCs/>
          <w:color w:val="auto"/>
          <w:szCs w:val="21"/>
        </w:rPr>
        <w:t>7</w:t>
      </w:r>
      <w:r>
        <w:rPr>
          <w:rFonts w:hint="eastAsia" w:ascii="宋体" w:hAnsi="宋体"/>
          <w:b/>
          <w:bCs/>
          <w:color w:val="auto"/>
          <w:szCs w:val="21"/>
          <w:lang w:val="zh-CN"/>
        </w:rPr>
        <w:t xml:space="preserve"> 合同份数</w:t>
      </w:r>
      <w:bookmarkEnd w:id="213"/>
      <w:bookmarkEnd w:id="214"/>
      <w:bookmarkEnd w:id="215"/>
    </w:p>
    <w:p w14:paraId="0584E384">
      <w:pPr>
        <w:spacing w:line="360" w:lineRule="auto"/>
        <w:ind w:firstLine="435"/>
        <w:rPr>
          <w:rFonts w:ascii="宋体" w:hAnsi="宋体"/>
          <w:color w:val="auto"/>
          <w:szCs w:val="21"/>
        </w:rPr>
      </w:pPr>
      <w:r>
        <w:rPr>
          <w:rFonts w:ascii="宋体" w:hAnsi="宋体"/>
          <w:color w:val="auto"/>
          <w:szCs w:val="21"/>
        </w:rPr>
        <w:t>合同份数按</w:t>
      </w:r>
      <w:r>
        <w:rPr>
          <w:rFonts w:ascii="宋体" w:hAnsi="宋体"/>
          <w:b/>
          <w:i/>
          <w:color w:val="auto"/>
          <w:szCs w:val="21"/>
          <w:u w:val="single"/>
        </w:rPr>
        <w:t>合同专用条款</w:t>
      </w:r>
      <w:r>
        <w:rPr>
          <w:rFonts w:ascii="宋体" w:hAnsi="宋体"/>
          <w:color w:val="auto"/>
          <w:szCs w:val="21"/>
        </w:rPr>
        <w:t>规定</w:t>
      </w:r>
      <w:r>
        <w:rPr>
          <w:rFonts w:hint="eastAsia" w:ascii="宋体" w:hAnsi="宋体"/>
          <w:color w:val="auto"/>
          <w:szCs w:val="21"/>
        </w:rPr>
        <w:t>，</w:t>
      </w:r>
      <w:r>
        <w:rPr>
          <w:rFonts w:ascii="宋体" w:hAnsi="宋体"/>
          <w:color w:val="auto"/>
          <w:szCs w:val="21"/>
        </w:rPr>
        <w:t>每份均具有同等法律效力</w:t>
      </w:r>
      <w:r>
        <w:rPr>
          <w:rFonts w:hint="eastAsia" w:ascii="宋体" w:hAnsi="宋体"/>
          <w:color w:val="auto"/>
          <w:szCs w:val="21"/>
        </w:rPr>
        <w:t>。</w:t>
      </w:r>
    </w:p>
    <w:p w14:paraId="47EEC4F5">
      <w:pPr>
        <w:spacing w:line="360" w:lineRule="auto"/>
        <w:jc w:val="center"/>
        <w:outlineLvl w:val="9"/>
        <w:rPr>
          <w:rFonts w:hint="eastAsia" w:ascii="宋体" w:hAnsi="宋体"/>
          <w:b/>
          <w:color w:val="auto"/>
          <w:szCs w:val="21"/>
        </w:rPr>
      </w:pPr>
      <w:bookmarkStart w:id="216" w:name="_Toc331685784"/>
    </w:p>
    <w:p w14:paraId="38857B91">
      <w:pPr>
        <w:spacing w:line="360" w:lineRule="auto"/>
        <w:jc w:val="center"/>
        <w:outlineLvl w:val="2"/>
        <w:rPr>
          <w:rFonts w:ascii="宋体" w:hAnsi="宋体"/>
          <w:b/>
          <w:color w:val="auto"/>
          <w:szCs w:val="21"/>
        </w:rPr>
      </w:pPr>
      <w:r>
        <w:rPr>
          <w:rFonts w:hint="eastAsia" w:ascii="宋体" w:hAnsi="宋体"/>
          <w:b/>
          <w:color w:val="auto"/>
          <w:szCs w:val="21"/>
        </w:rPr>
        <w:t>第三部分</w:t>
      </w:r>
      <w:r>
        <w:rPr>
          <w:rFonts w:ascii="宋体" w:hAnsi="宋体"/>
          <w:b/>
          <w:color w:val="auto"/>
          <w:szCs w:val="21"/>
        </w:rPr>
        <w:t xml:space="preserve"> </w:t>
      </w:r>
      <w:r>
        <w:rPr>
          <w:rFonts w:hint="eastAsia" w:ascii="宋体" w:hAnsi="宋体"/>
          <w:b/>
          <w:color w:val="auto"/>
          <w:szCs w:val="21"/>
        </w:rPr>
        <w:t>合同专用条款</w:t>
      </w:r>
      <w:bookmarkEnd w:id="216"/>
    </w:p>
    <w:p w14:paraId="2C102B2F">
      <w:pPr>
        <w:spacing w:line="360" w:lineRule="auto"/>
        <w:ind w:firstLine="435"/>
        <w:rPr>
          <w:rFonts w:ascii="宋体" w:hAnsi="宋体"/>
          <w:color w:val="auto"/>
          <w:szCs w:val="21"/>
        </w:rPr>
      </w:pPr>
      <w:r>
        <w:rPr>
          <w:rFonts w:hint="eastAsia" w:ascii="宋体" w:hAnsi="宋体"/>
          <w:color w:val="auto"/>
          <w:szCs w:val="21"/>
        </w:rPr>
        <w:t>本部分</w:t>
      </w:r>
      <w:r>
        <w:rPr>
          <w:rFonts w:ascii="宋体" w:hAnsi="宋体"/>
          <w:color w:val="auto"/>
          <w:szCs w:val="21"/>
        </w:rPr>
        <w:t>是对</w:t>
      </w:r>
      <w:r>
        <w:rPr>
          <w:rFonts w:hint="eastAsia" w:ascii="宋体" w:hAnsi="宋体"/>
          <w:color w:val="auto"/>
          <w:szCs w:val="21"/>
        </w:rPr>
        <w:t>前两</w:t>
      </w:r>
      <w:r>
        <w:rPr>
          <w:rFonts w:ascii="宋体" w:hAnsi="宋体"/>
          <w:color w:val="auto"/>
          <w:szCs w:val="21"/>
        </w:rPr>
        <w:t>部分的补充和修改</w:t>
      </w:r>
      <w:r>
        <w:rPr>
          <w:rFonts w:hint="eastAsia" w:ascii="宋体" w:hAnsi="宋体"/>
          <w:color w:val="auto"/>
          <w:szCs w:val="21"/>
        </w:rPr>
        <w:t>，</w:t>
      </w:r>
      <w:r>
        <w:rPr>
          <w:rFonts w:ascii="宋体" w:hAnsi="宋体"/>
          <w:color w:val="auto"/>
          <w:szCs w:val="21"/>
        </w:rPr>
        <w:t>如果</w:t>
      </w:r>
      <w:r>
        <w:rPr>
          <w:rFonts w:hint="eastAsia" w:ascii="宋体" w:hAnsi="宋体"/>
          <w:color w:val="auto"/>
          <w:szCs w:val="21"/>
        </w:rPr>
        <w:t>前两</w:t>
      </w:r>
      <w:r>
        <w:rPr>
          <w:rFonts w:ascii="宋体" w:hAnsi="宋体"/>
          <w:color w:val="auto"/>
          <w:szCs w:val="21"/>
        </w:rPr>
        <w:t>部分和本部分的约定不一致</w:t>
      </w:r>
      <w:r>
        <w:rPr>
          <w:rFonts w:hint="eastAsia" w:ascii="宋体" w:hAnsi="宋体"/>
          <w:color w:val="auto"/>
          <w:szCs w:val="21"/>
        </w:rPr>
        <w:t>，</w:t>
      </w:r>
      <w:r>
        <w:rPr>
          <w:rFonts w:ascii="宋体" w:hAnsi="宋体"/>
          <w:color w:val="auto"/>
          <w:szCs w:val="21"/>
        </w:rPr>
        <w:t>应以本部分的约定为准</w:t>
      </w:r>
      <w:r>
        <w:rPr>
          <w:rFonts w:hint="eastAsia" w:ascii="宋体" w:hAnsi="宋体"/>
          <w:color w:val="auto"/>
          <w:szCs w:val="21"/>
        </w:rPr>
        <w:t>。</w:t>
      </w:r>
      <w:r>
        <w:rPr>
          <w:rFonts w:ascii="宋体" w:hAnsi="宋体"/>
          <w:color w:val="auto"/>
          <w:szCs w:val="21"/>
        </w:rPr>
        <w:t>本部分的条款号应与</w:t>
      </w:r>
      <w:r>
        <w:rPr>
          <w:rFonts w:hint="eastAsia" w:ascii="宋体" w:hAnsi="宋体"/>
          <w:color w:val="auto"/>
          <w:szCs w:val="21"/>
        </w:rPr>
        <w:t>前两部分</w:t>
      </w:r>
      <w:r>
        <w:rPr>
          <w:rFonts w:ascii="宋体" w:hAnsi="宋体"/>
          <w:color w:val="auto"/>
          <w:szCs w:val="21"/>
        </w:rPr>
        <w:t>的条款号保持对应</w:t>
      </w:r>
      <w:r>
        <w:rPr>
          <w:rFonts w:hint="eastAsia" w:ascii="宋体" w:hAnsi="宋体"/>
          <w:color w:val="auto"/>
          <w:szCs w:val="21"/>
        </w:rPr>
        <w:t>；与前两部分</w:t>
      </w:r>
      <w:r>
        <w:rPr>
          <w:rFonts w:ascii="宋体" w:hAnsi="宋体"/>
          <w:color w:val="auto"/>
          <w:szCs w:val="21"/>
        </w:rPr>
        <w:t>无对应关系的内容可另行编制条款号</w:t>
      </w:r>
      <w:r>
        <w:rPr>
          <w:rFonts w:hint="eastAsia" w:ascii="宋体" w:hAnsi="宋体"/>
          <w:color w:val="auto"/>
          <w:szCs w:val="21"/>
        </w:rPr>
        <w:t>。</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00FA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vAlign w:val="center"/>
          </w:tcPr>
          <w:p w14:paraId="2DF1BD0B">
            <w:pPr>
              <w:jc w:val="center"/>
              <w:rPr>
                <w:rFonts w:ascii="宋体" w:hAnsi="宋体"/>
                <w:b/>
                <w:color w:val="auto"/>
                <w:szCs w:val="21"/>
              </w:rPr>
            </w:pPr>
            <w:r>
              <w:rPr>
                <w:rFonts w:ascii="宋体" w:hAnsi="宋体"/>
                <w:b/>
                <w:color w:val="auto"/>
                <w:szCs w:val="21"/>
              </w:rPr>
              <w:t>条款号</w:t>
            </w:r>
          </w:p>
        </w:tc>
        <w:tc>
          <w:tcPr>
            <w:tcW w:w="7569" w:type="dxa"/>
            <w:vAlign w:val="center"/>
          </w:tcPr>
          <w:p w14:paraId="441F7DE9">
            <w:pPr>
              <w:jc w:val="center"/>
              <w:rPr>
                <w:rFonts w:ascii="宋体" w:hAnsi="宋体"/>
                <w:b/>
                <w:color w:val="auto"/>
                <w:szCs w:val="21"/>
              </w:rPr>
            </w:pPr>
            <w:r>
              <w:rPr>
                <w:rFonts w:ascii="宋体" w:hAnsi="宋体"/>
                <w:b/>
                <w:color w:val="auto"/>
                <w:szCs w:val="21"/>
              </w:rPr>
              <w:t>约定内容</w:t>
            </w:r>
          </w:p>
        </w:tc>
      </w:tr>
      <w:tr w14:paraId="08FD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vAlign w:val="center"/>
          </w:tcPr>
          <w:p w14:paraId="27C50BFA">
            <w:pPr>
              <w:spacing w:line="560" w:lineRule="exact"/>
              <w:rPr>
                <w:rFonts w:ascii="宋体" w:hAnsi="宋体"/>
                <w:color w:val="auto"/>
                <w:szCs w:val="21"/>
              </w:rPr>
            </w:pPr>
          </w:p>
        </w:tc>
        <w:tc>
          <w:tcPr>
            <w:tcW w:w="7569" w:type="dxa"/>
            <w:vAlign w:val="center"/>
          </w:tcPr>
          <w:p w14:paraId="38463132">
            <w:pPr>
              <w:spacing w:line="560" w:lineRule="exact"/>
              <w:rPr>
                <w:rFonts w:ascii="宋体" w:hAnsi="宋体"/>
                <w:color w:val="auto"/>
                <w:szCs w:val="21"/>
              </w:rPr>
            </w:pPr>
          </w:p>
        </w:tc>
      </w:tr>
      <w:tr w14:paraId="21A1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4B8B61BB">
            <w:pPr>
              <w:spacing w:line="560" w:lineRule="exact"/>
              <w:rPr>
                <w:rFonts w:ascii="宋体" w:hAnsi="宋体"/>
                <w:color w:val="auto"/>
                <w:szCs w:val="21"/>
              </w:rPr>
            </w:pPr>
          </w:p>
        </w:tc>
        <w:tc>
          <w:tcPr>
            <w:tcW w:w="7569" w:type="dxa"/>
            <w:vAlign w:val="center"/>
          </w:tcPr>
          <w:p w14:paraId="40110318">
            <w:pPr>
              <w:spacing w:line="560" w:lineRule="exact"/>
              <w:rPr>
                <w:rFonts w:ascii="宋体" w:hAnsi="宋体"/>
                <w:color w:val="auto"/>
                <w:szCs w:val="21"/>
              </w:rPr>
            </w:pPr>
          </w:p>
        </w:tc>
      </w:tr>
      <w:tr w14:paraId="526F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03DAEE0C">
            <w:pPr>
              <w:spacing w:line="560" w:lineRule="exact"/>
              <w:rPr>
                <w:rFonts w:ascii="宋体" w:hAnsi="宋体"/>
                <w:color w:val="auto"/>
                <w:szCs w:val="21"/>
              </w:rPr>
            </w:pPr>
          </w:p>
        </w:tc>
        <w:tc>
          <w:tcPr>
            <w:tcW w:w="7569" w:type="dxa"/>
            <w:vAlign w:val="center"/>
          </w:tcPr>
          <w:p w14:paraId="23E370E3">
            <w:pPr>
              <w:spacing w:line="560" w:lineRule="exact"/>
              <w:rPr>
                <w:rFonts w:ascii="宋体" w:hAnsi="宋体"/>
                <w:color w:val="auto"/>
                <w:szCs w:val="21"/>
              </w:rPr>
            </w:pPr>
          </w:p>
        </w:tc>
      </w:tr>
      <w:tr w14:paraId="261D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886EDE1">
            <w:pPr>
              <w:spacing w:line="560" w:lineRule="exact"/>
              <w:rPr>
                <w:rFonts w:ascii="宋体" w:hAnsi="宋体"/>
                <w:color w:val="auto"/>
                <w:szCs w:val="21"/>
              </w:rPr>
            </w:pPr>
          </w:p>
        </w:tc>
        <w:tc>
          <w:tcPr>
            <w:tcW w:w="7569" w:type="dxa"/>
            <w:vAlign w:val="center"/>
          </w:tcPr>
          <w:p w14:paraId="497420BD">
            <w:pPr>
              <w:spacing w:line="560" w:lineRule="exact"/>
              <w:rPr>
                <w:rFonts w:ascii="宋体" w:hAnsi="宋体"/>
                <w:color w:val="auto"/>
                <w:szCs w:val="21"/>
              </w:rPr>
            </w:pPr>
          </w:p>
        </w:tc>
      </w:tr>
      <w:tr w14:paraId="609A1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2AFA1811">
            <w:pPr>
              <w:spacing w:line="560" w:lineRule="exact"/>
              <w:rPr>
                <w:rFonts w:ascii="宋体" w:hAnsi="宋体"/>
                <w:color w:val="auto"/>
                <w:szCs w:val="21"/>
              </w:rPr>
            </w:pPr>
          </w:p>
        </w:tc>
        <w:tc>
          <w:tcPr>
            <w:tcW w:w="7569" w:type="dxa"/>
            <w:vAlign w:val="center"/>
          </w:tcPr>
          <w:p w14:paraId="3FAC4A8A">
            <w:pPr>
              <w:spacing w:line="560" w:lineRule="exact"/>
              <w:rPr>
                <w:rFonts w:ascii="宋体" w:hAnsi="宋体"/>
                <w:color w:val="auto"/>
                <w:szCs w:val="21"/>
                <w:u w:val="single"/>
              </w:rPr>
            </w:pPr>
          </w:p>
        </w:tc>
      </w:tr>
      <w:tr w14:paraId="7E22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2F75E7E6">
            <w:pPr>
              <w:spacing w:line="560" w:lineRule="exact"/>
              <w:rPr>
                <w:rFonts w:ascii="宋体" w:hAnsi="宋体"/>
                <w:color w:val="auto"/>
                <w:szCs w:val="21"/>
              </w:rPr>
            </w:pPr>
          </w:p>
        </w:tc>
        <w:tc>
          <w:tcPr>
            <w:tcW w:w="7569" w:type="dxa"/>
            <w:vAlign w:val="center"/>
          </w:tcPr>
          <w:p w14:paraId="4E02FF88">
            <w:pPr>
              <w:spacing w:line="560" w:lineRule="exact"/>
              <w:rPr>
                <w:rFonts w:ascii="宋体" w:hAnsi="宋体"/>
                <w:color w:val="auto"/>
                <w:szCs w:val="21"/>
              </w:rPr>
            </w:pPr>
          </w:p>
        </w:tc>
      </w:tr>
      <w:tr w14:paraId="604B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E66D6F3">
            <w:pPr>
              <w:spacing w:line="560" w:lineRule="exact"/>
              <w:rPr>
                <w:rFonts w:ascii="宋体" w:hAnsi="宋体"/>
                <w:color w:val="auto"/>
                <w:szCs w:val="21"/>
              </w:rPr>
            </w:pPr>
          </w:p>
        </w:tc>
        <w:tc>
          <w:tcPr>
            <w:tcW w:w="7569" w:type="dxa"/>
            <w:vAlign w:val="center"/>
          </w:tcPr>
          <w:p w14:paraId="001BD55D">
            <w:pPr>
              <w:spacing w:line="560" w:lineRule="exact"/>
              <w:rPr>
                <w:rFonts w:ascii="宋体" w:hAnsi="宋体"/>
                <w:color w:val="auto"/>
                <w:szCs w:val="21"/>
                <w:u w:val="single"/>
              </w:rPr>
            </w:pPr>
          </w:p>
        </w:tc>
      </w:tr>
      <w:tr w14:paraId="03C1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2F6555A4">
            <w:pPr>
              <w:spacing w:line="560" w:lineRule="exact"/>
              <w:rPr>
                <w:rFonts w:ascii="宋体" w:hAnsi="宋体"/>
                <w:color w:val="auto"/>
                <w:szCs w:val="21"/>
              </w:rPr>
            </w:pPr>
          </w:p>
        </w:tc>
        <w:tc>
          <w:tcPr>
            <w:tcW w:w="7569" w:type="dxa"/>
            <w:vAlign w:val="center"/>
          </w:tcPr>
          <w:p w14:paraId="06F3E0D8">
            <w:pPr>
              <w:spacing w:line="560" w:lineRule="exact"/>
              <w:rPr>
                <w:rFonts w:ascii="宋体" w:hAnsi="宋体"/>
                <w:color w:val="auto"/>
                <w:szCs w:val="21"/>
              </w:rPr>
            </w:pPr>
          </w:p>
        </w:tc>
      </w:tr>
      <w:tr w14:paraId="3AB48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034D3EB4">
            <w:pPr>
              <w:spacing w:line="560" w:lineRule="exact"/>
              <w:rPr>
                <w:rFonts w:ascii="宋体" w:hAnsi="宋体"/>
                <w:color w:val="auto"/>
                <w:szCs w:val="21"/>
              </w:rPr>
            </w:pPr>
          </w:p>
        </w:tc>
        <w:tc>
          <w:tcPr>
            <w:tcW w:w="7569" w:type="dxa"/>
            <w:vAlign w:val="center"/>
          </w:tcPr>
          <w:p w14:paraId="0F003326">
            <w:pPr>
              <w:spacing w:line="560" w:lineRule="exact"/>
              <w:rPr>
                <w:rFonts w:ascii="宋体" w:hAnsi="宋体"/>
                <w:color w:val="auto"/>
                <w:szCs w:val="21"/>
              </w:rPr>
            </w:pPr>
          </w:p>
        </w:tc>
      </w:tr>
      <w:tr w14:paraId="555E1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7CD5FED6">
            <w:pPr>
              <w:spacing w:line="560" w:lineRule="exact"/>
              <w:rPr>
                <w:rFonts w:ascii="宋体" w:hAnsi="宋体"/>
                <w:color w:val="auto"/>
                <w:szCs w:val="21"/>
              </w:rPr>
            </w:pPr>
          </w:p>
        </w:tc>
        <w:tc>
          <w:tcPr>
            <w:tcW w:w="7569" w:type="dxa"/>
            <w:vAlign w:val="center"/>
          </w:tcPr>
          <w:p w14:paraId="1FCD58E3">
            <w:pPr>
              <w:spacing w:line="560" w:lineRule="exact"/>
              <w:rPr>
                <w:rFonts w:ascii="宋体" w:hAnsi="宋体"/>
                <w:color w:val="auto"/>
                <w:szCs w:val="21"/>
              </w:rPr>
            </w:pPr>
          </w:p>
        </w:tc>
      </w:tr>
      <w:tr w14:paraId="4A3B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39B8ED62">
            <w:pPr>
              <w:spacing w:line="560" w:lineRule="exact"/>
              <w:rPr>
                <w:rFonts w:ascii="宋体" w:hAnsi="宋体"/>
                <w:color w:val="auto"/>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4C0FAAE2">
            <w:pPr>
              <w:spacing w:line="560" w:lineRule="exact"/>
              <w:rPr>
                <w:rFonts w:ascii="宋体" w:hAnsi="宋体"/>
                <w:color w:val="auto"/>
                <w:szCs w:val="21"/>
              </w:rPr>
            </w:pPr>
          </w:p>
        </w:tc>
      </w:tr>
      <w:tr w14:paraId="5C649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3449A7BE">
            <w:pPr>
              <w:spacing w:line="560" w:lineRule="exact"/>
              <w:rPr>
                <w:rFonts w:ascii="宋体" w:hAnsi="宋体"/>
                <w:color w:val="auto"/>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4D254C2E">
            <w:pPr>
              <w:spacing w:line="560" w:lineRule="exact"/>
              <w:rPr>
                <w:rFonts w:ascii="宋体" w:hAnsi="宋体"/>
                <w:color w:val="auto"/>
                <w:szCs w:val="21"/>
              </w:rPr>
            </w:pPr>
          </w:p>
        </w:tc>
      </w:tr>
    </w:tbl>
    <w:p w14:paraId="3806E9FB">
      <w:pPr>
        <w:spacing w:line="440" w:lineRule="exact"/>
        <w:rPr>
          <w:rFonts w:ascii="宋体" w:cs="宋体"/>
          <w:color w:val="auto"/>
          <w:szCs w:val="21"/>
        </w:rPr>
      </w:pPr>
    </w:p>
    <w:p w14:paraId="7E4E2B6C">
      <w:pPr>
        <w:pStyle w:val="9"/>
        <w:spacing w:line="400" w:lineRule="exact"/>
        <w:ind w:firstLine="480" w:firstLineChars="200"/>
        <w:rPr>
          <w:color w:val="auto"/>
          <w:kern w:val="0"/>
          <w:sz w:val="24"/>
          <w:szCs w:val="20"/>
          <w:u w:color="000000"/>
        </w:rPr>
      </w:pPr>
    </w:p>
    <w:p w14:paraId="3F1628D2">
      <w:pPr>
        <w:pStyle w:val="21"/>
        <w:ind w:firstLine="0" w:firstLineChars="0"/>
        <w:rPr>
          <w:color w:val="auto"/>
        </w:rPr>
      </w:pPr>
    </w:p>
    <w:p w14:paraId="1031B532">
      <w:pPr>
        <w:rPr>
          <w:color w:val="auto"/>
        </w:rPr>
      </w:pPr>
    </w:p>
    <w:p w14:paraId="1B4AA787">
      <w:pPr>
        <w:pStyle w:val="21"/>
        <w:ind w:firstLine="560"/>
        <w:rPr>
          <w:color w:val="auto"/>
        </w:rPr>
      </w:pPr>
    </w:p>
    <w:p w14:paraId="19AAE52A">
      <w:pPr>
        <w:rPr>
          <w:color w:val="auto"/>
        </w:rPr>
      </w:pPr>
    </w:p>
    <w:p w14:paraId="77442620">
      <w:pPr>
        <w:pStyle w:val="21"/>
        <w:ind w:firstLine="560"/>
        <w:rPr>
          <w:color w:val="auto"/>
        </w:rPr>
      </w:pPr>
    </w:p>
    <w:p w14:paraId="6DA7875D">
      <w:pPr>
        <w:rPr>
          <w:color w:val="auto"/>
        </w:rPr>
      </w:pPr>
    </w:p>
    <w:p w14:paraId="068E115E">
      <w:pPr>
        <w:pStyle w:val="21"/>
        <w:ind w:firstLine="560"/>
        <w:rPr>
          <w:color w:val="auto"/>
        </w:rPr>
      </w:pPr>
    </w:p>
    <w:p w14:paraId="22D48DCD">
      <w:pPr>
        <w:rPr>
          <w:color w:val="auto"/>
        </w:rPr>
      </w:pPr>
    </w:p>
    <w:p w14:paraId="6C8FEA43">
      <w:pPr>
        <w:pStyle w:val="21"/>
        <w:ind w:firstLine="560"/>
        <w:rPr>
          <w:color w:val="auto"/>
        </w:rPr>
      </w:pPr>
    </w:p>
    <w:p w14:paraId="5A76B372">
      <w:pPr>
        <w:rPr>
          <w:color w:val="auto"/>
        </w:rPr>
      </w:pPr>
    </w:p>
    <w:p w14:paraId="6D90CB16">
      <w:pPr>
        <w:pStyle w:val="21"/>
        <w:ind w:firstLine="560"/>
        <w:rPr>
          <w:color w:val="auto"/>
        </w:rPr>
      </w:pPr>
    </w:p>
    <w:p w14:paraId="2393EA29">
      <w:pPr>
        <w:pStyle w:val="17"/>
        <w:ind w:left="0" w:firstLine="0" w:firstLineChars="0"/>
        <w:rPr>
          <w:color w:val="auto"/>
        </w:rPr>
      </w:pPr>
    </w:p>
    <w:p w14:paraId="6C8192ED">
      <w:pPr>
        <w:snapToGrid w:val="0"/>
        <w:spacing w:line="440" w:lineRule="exact"/>
        <w:rPr>
          <w:rFonts w:ascii="宋体" w:hAnsi="宋体" w:cs="宋体"/>
          <w:b/>
          <w:color w:val="auto"/>
          <w:sz w:val="32"/>
          <w:szCs w:val="32"/>
        </w:rPr>
      </w:pPr>
    </w:p>
    <w:p w14:paraId="10943A9E">
      <w:pPr>
        <w:snapToGrid w:val="0"/>
        <w:spacing w:line="440" w:lineRule="exact"/>
        <w:ind w:firstLine="643" w:firstLineChars="200"/>
        <w:jc w:val="center"/>
        <w:outlineLvl w:val="0"/>
        <w:rPr>
          <w:rFonts w:ascii="宋体" w:hAnsi="宋体" w:cs="宋体"/>
          <w:bCs/>
          <w:color w:val="auto"/>
          <w:sz w:val="24"/>
        </w:rPr>
      </w:pPr>
      <w:bookmarkStart w:id="217" w:name="_Toc28777"/>
      <w:r>
        <w:rPr>
          <w:rFonts w:hint="eastAsia" w:ascii="宋体" w:hAnsi="宋体" w:cs="宋体"/>
          <w:b/>
          <w:color w:val="auto"/>
          <w:sz w:val="32"/>
          <w:szCs w:val="32"/>
        </w:rPr>
        <w:t>第六章  投标文件标格式</w:t>
      </w:r>
      <w:bookmarkEnd w:id="217"/>
    </w:p>
    <w:p w14:paraId="196C37D4">
      <w:pPr>
        <w:rPr>
          <w:rFonts w:eastAsia="黑体"/>
          <w:color w:val="auto"/>
          <w:sz w:val="20"/>
        </w:rPr>
      </w:pPr>
    </w:p>
    <w:p w14:paraId="14AD4546">
      <w:pPr>
        <w:jc w:val="center"/>
        <w:outlineLvl w:val="1"/>
        <w:rPr>
          <w:rFonts w:ascii="宋体"/>
          <w:b/>
          <w:color w:val="auto"/>
          <w:sz w:val="44"/>
          <w:szCs w:val="44"/>
        </w:rPr>
      </w:pPr>
      <w:bookmarkStart w:id="218" w:name="_Toc350698753"/>
      <w:bookmarkStart w:id="219" w:name="_Toc469495744"/>
      <w:r>
        <w:rPr>
          <w:rFonts w:hint="eastAsia" w:ascii="宋体"/>
          <w:b/>
          <w:color w:val="auto"/>
          <w:sz w:val="44"/>
          <w:szCs w:val="44"/>
        </w:rPr>
        <w:t xml:space="preserve">                               </w:t>
      </w:r>
      <w:r>
        <w:rPr>
          <w:rFonts w:hint="eastAsia" w:ascii="宋体"/>
          <w:b/>
          <w:color w:val="auto"/>
          <w:sz w:val="96"/>
          <w:szCs w:val="96"/>
        </w:rPr>
        <w:t xml:space="preserve"> </w:t>
      </w:r>
      <w:r>
        <w:rPr>
          <w:rFonts w:hint="eastAsia"/>
          <w:color w:val="auto"/>
          <w:sz w:val="36"/>
          <w:szCs w:val="44"/>
        </w:rPr>
        <w:t>正本/副本</w:t>
      </w:r>
    </w:p>
    <w:p w14:paraId="1BEFEDBB">
      <w:pPr>
        <w:pStyle w:val="21"/>
        <w:ind w:firstLine="560"/>
        <w:rPr>
          <w:color w:val="auto"/>
        </w:rPr>
      </w:pPr>
    </w:p>
    <w:p w14:paraId="7E0A6DDB">
      <w:pPr>
        <w:jc w:val="center"/>
        <w:outlineLvl w:val="1"/>
        <w:rPr>
          <w:rFonts w:ascii="宋体"/>
          <w:b/>
          <w:color w:val="auto"/>
          <w:sz w:val="44"/>
          <w:szCs w:val="44"/>
        </w:rPr>
      </w:pPr>
      <w:r>
        <w:rPr>
          <w:rFonts w:hint="eastAsia" w:ascii="宋体"/>
          <w:b/>
          <w:color w:val="auto"/>
          <w:sz w:val="44"/>
          <w:szCs w:val="44"/>
        </w:rPr>
        <w:t>资信证明文件</w:t>
      </w:r>
      <w:bookmarkEnd w:id="218"/>
      <w:bookmarkEnd w:id="219"/>
    </w:p>
    <w:p w14:paraId="2279D82E">
      <w:pPr>
        <w:jc w:val="center"/>
        <w:rPr>
          <w:rFonts w:ascii="宋体"/>
          <w:color w:val="auto"/>
          <w:sz w:val="32"/>
          <w:szCs w:val="32"/>
        </w:rPr>
      </w:pPr>
      <w:r>
        <w:rPr>
          <w:rFonts w:hint="eastAsia" w:ascii="宋体"/>
          <w:color w:val="auto"/>
          <w:sz w:val="32"/>
          <w:szCs w:val="32"/>
        </w:rPr>
        <w:t>（投标文件一）</w:t>
      </w:r>
    </w:p>
    <w:p w14:paraId="5AA61A15">
      <w:pPr>
        <w:jc w:val="center"/>
        <w:rPr>
          <w:rFonts w:eastAsia="黑体"/>
          <w:color w:val="auto"/>
          <w:sz w:val="44"/>
          <w:szCs w:val="44"/>
        </w:rPr>
      </w:pPr>
    </w:p>
    <w:p w14:paraId="6E89308D">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p>
    <w:p w14:paraId="7456EF85">
      <w:pPr>
        <w:rPr>
          <w:rFonts w:ascii="宋体"/>
          <w:color w:val="auto"/>
          <w:sz w:val="28"/>
          <w:szCs w:val="28"/>
        </w:rPr>
      </w:pPr>
    </w:p>
    <w:p w14:paraId="7DCFD8C4">
      <w:pPr>
        <w:rPr>
          <w:rFonts w:ascii="宋体"/>
          <w:color w:val="auto"/>
          <w:sz w:val="28"/>
          <w:szCs w:val="28"/>
        </w:rPr>
      </w:pPr>
    </w:p>
    <w:p w14:paraId="17A444DC">
      <w:pPr>
        <w:rPr>
          <w:rFonts w:ascii="宋体"/>
          <w:color w:val="auto"/>
          <w:sz w:val="28"/>
          <w:szCs w:val="28"/>
        </w:rPr>
      </w:pPr>
    </w:p>
    <w:p w14:paraId="6E46674B">
      <w:pPr>
        <w:rPr>
          <w:rFonts w:ascii="宋体"/>
          <w:color w:val="auto"/>
          <w:sz w:val="28"/>
          <w:szCs w:val="28"/>
        </w:rPr>
      </w:pPr>
    </w:p>
    <w:p w14:paraId="0D5630E0">
      <w:pPr>
        <w:pStyle w:val="21"/>
        <w:ind w:firstLine="0" w:firstLineChars="0"/>
        <w:rPr>
          <w:color w:val="auto"/>
        </w:rPr>
      </w:pPr>
    </w:p>
    <w:p w14:paraId="0605EDF2">
      <w:pPr>
        <w:rPr>
          <w:rFonts w:ascii="宋体"/>
          <w:color w:val="auto"/>
          <w:sz w:val="28"/>
          <w:szCs w:val="28"/>
        </w:rPr>
      </w:pPr>
    </w:p>
    <w:p w14:paraId="6401187F">
      <w:pPr>
        <w:jc w:val="center"/>
        <w:rPr>
          <w:rFonts w:ascii="宋体"/>
          <w:color w:val="auto"/>
          <w:sz w:val="28"/>
          <w:szCs w:val="28"/>
          <w:u w:val="single"/>
        </w:rPr>
      </w:pPr>
      <w:r>
        <w:rPr>
          <w:rFonts w:hint="eastAsia" w:ascii="宋体"/>
          <w:color w:val="auto"/>
          <w:sz w:val="28"/>
          <w:szCs w:val="28"/>
        </w:rPr>
        <w:t>供应商：</w:t>
      </w:r>
      <w:r>
        <w:rPr>
          <w:rFonts w:hint="eastAsia" w:ascii="宋体"/>
          <w:color w:val="auto"/>
          <w:sz w:val="28"/>
          <w:szCs w:val="28"/>
          <w:u w:val="single"/>
        </w:rPr>
        <w:t xml:space="preserve">                            </w:t>
      </w:r>
      <w:r>
        <w:rPr>
          <w:rFonts w:hint="eastAsia" w:ascii="宋体"/>
          <w:color w:val="auto"/>
          <w:sz w:val="28"/>
          <w:szCs w:val="28"/>
        </w:rPr>
        <w:t>（盖章）</w:t>
      </w:r>
    </w:p>
    <w:p w14:paraId="23DAE0B8">
      <w:pPr>
        <w:ind w:firstLine="1582" w:firstLineChars="565"/>
        <w:jc w:val="left"/>
        <w:rPr>
          <w:rFonts w:ascii="宋体"/>
          <w:color w:val="auto"/>
          <w:sz w:val="28"/>
          <w:szCs w:val="28"/>
          <w:u w:val="single"/>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2D06DCEE">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4B8FB053">
      <w:pPr>
        <w:pStyle w:val="17"/>
        <w:ind w:left="0" w:firstLine="0" w:firstLineChars="0"/>
        <w:rPr>
          <w:color w:val="auto"/>
          <w:szCs w:val="28"/>
        </w:rPr>
      </w:pPr>
    </w:p>
    <w:p w14:paraId="117A88FF">
      <w:pPr>
        <w:pStyle w:val="17"/>
        <w:ind w:left="420" w:hanging="420"/>
        <w:rPr>
          <w:color w:val="auto"/>
          <w:szCs w:val="28"/>
        </w:rPr>
      </w:pPr>
    </w:p>
    <w:p w14:paraId="3A2C0163">
      <w:pPr>
        <w:pStyle w:val="17"/>
        <w:ind w:left="0" w:firstLine="0" w:firstLineChars="0"/>
        <w:rPr>
          <w:color w:val="auto"/>
          <w:szCs w:val="28"/>
        </w:rPr>
      </w:pPr>
    </w:p>
    <w:p w14:paraId="1A468348">
      <w:pPr>
        <w:pStyle w:val="17"/>
        <w:ind w:left="0" w:firstLine="0" w:firstLineChars="0"/>
        <w:rPr>
          <w:color w:val="auto"/>
          <w:szCs w:val="28"/>
        </w:rPr>
      </w:pPr>
    </w:p>
    <w:p w14:paraId="7BE26911">
      <w:pPr>
        <w:pStyle w:val="17"/>
        <w:ind w:left="0" w:firstLine="0" w:firstLineChars="0"/>
        <w:rPr>
          <w:color w:val="auto"/>
          <w:szCs w:val="28"/>
        </w:rPr>
      </w:pPr>
    </w:p>
    <w:p w14:paraId="0FF572D5">
      <w:pPr>
        <w:pStyle w:val="17"/>
        <w:ind w:left="0" w:firstLine="0" w:firstLineChars="0"/>
        <w:rPr>
          <w:color w:val="auto"/>
          <w:szCs w:val="28"/>
        </w:rPr>
      </w:pPr>
    </w:p>
    <w:p w14:paraId="770918CD">
      <w:pPr>
        <w:pStyle w:val="17"/>
        <w:ind w:left="0" w:firstLine="0" w:firstLineChars="0"/>
        <w:rPr>
          <w:color w:val="auto"/>
          <w:szCs w:val="28"/>
        </w:rPr>
      </w:pPr>
    </w:p>
    <w:p w14:paraId="1926DFA9">
      <w:pPr>
        <w:pStyle w:val="17"/>
        <w:ind w:left="0" w:firstLine="0" w:firstLineChars="0"/>
        <w:rPr>
          <w:color w:val="auto"/>
          <w:szCs w:val="28"/>
        </w:rPr>
      </w:pPr>
    </w:p>
    <w:p w14:paraId="5A3B6BBA">
      <w:pPr>
        <w:spacing w:before="162" w:beforeLines="50" w:after="162" w:afterLines="50"/>
        <w:jc w:val="center"/>
        <w:rPr>
          <w:rFonts w:ascii="宋体"/>
          <w:b/>
          <w:bCs/>
          <w:color w:val="auto"/>
          <w:sz w:val="32"/>
          <w:szCs w:val="32"/>
        </w:rPr>
      </w:pPr>
      <w:r>
        <w:rPr>
          <w:rFonts w:hint="eastAsia" w:ascii="宋体"/>
          <w:b/>
          <w:bCs/>
          <w:color w:val="auto"/>
          <w:sz w:val="32"/>
          <w:szCs w:val="32"/>
        </w:rPr>
        <w:t>目  录</w:t>
      </w:r>
    </w:p>
    <w:p w14:paraId="3898815F">
      <w:pPr>
        <w:spacing w:line="440" w:lineRule="exact"/>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5EC314B8">
      <w:pPr>
        <w:spacing w:line="440" w:lineRule="exact"/>
        <w:rPr>
          <w:rFonts w:ascii="宋体" w:hAnsi="宋体" w:cs="宋体"/>
          <w:color w:val="auto"/>
          <w:szCs w:val="21"/>
        </w:rPr>
      </w:pPr>
      <w:r>
        <w:rPr>
          <w:rFonts w:hint="eastAsia" w:ascii="宋体" w:hAnsi="宋体" w:cs="宋体"/>
          <w:color w:val="auto"/>
          <w:szCs w:val="21"/>
        </w:rPr>
        <w:t>（2）供应商有效的营业执照、税务登记证、组织机构代码证（或三证合一的有效证件）；</w:t>
      </w:r>
    </w:p>
    <w:p w14:paraId="70E3F209">
      <w:pPr>
        <w:spacing w:line="440" w:lineRule="exact"/>
        <w:rPr>
          <w:rFonts w:ascii="宋体" w:hAnsi="宋体" w:cs="宋体"/>
          <w:color w:val="auto"/>
          <w:szCs w:val="21"/>
        </w:rPr>
      </w:pPr>
      <w:r>
        <w:rPr>
          <w:rFonts w:hint="eastAsia" w:ascii="宋体" w:hAnsi="宋体" w:cs="宋体"/>
          <w:color w:val="auto"/>
          <w:szCs w:val="21"/>
        </w:rPr>
        <w:t>（3）诚信投标承诺书（格式见附件）；</w:t>
      </w:r>
    </w:p>
    <w:p w14:paraId="6B07457E">
      <w:pPr>
        <w:spacing w:line="440" w:lineRule="exact"/>
        <w:jc w:val="left"/>
        <w:rPr>
          <w:rFonts w:hint="eastAsia" w:ascii="宋体" w:hAnsi="宋体" w:cs="宋体"/>
          <w:b/>
          <w:bCs/>
          <w:color w:val="auto"/>
          <w:kern w:val="0"/>
          <w:szCs w:val="21"/>
          <w:u w:color="000000"/>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b/>
          <w:bCs/>
          <w:color w:val="auto"/>
          <w:kern w:val="0"/>
          <w:szCs w:val="21"/>
          <w:u w:color="000000"/>
        </w:rPr>
        <w:t>资信评分细则中要求提供的其他相关证明资料；</w:t>
      </w:r>
    </w:p>
    <w:p w14:paraId="07D3CAD5">
      <w:pPr>
        <w:pStyle w:val="21"/>
        <w:ind w:left="0" w:leftChars="0" w:firstLine="0" w:firstLineChars="0"/>
        <w:rPr>
          <w:color w:val="auto"/>
        </w:rPr>
      </w:pPr>
      <w:r>
        <w:rPr>
          <w:rFonts w:hint="eastAsia" w:ascii="宋体" w:hAnsi="宋体" w:eastAsia="宋体" w:cs="宋体"/>
          <w:b/>
          <w:bCs/>
          <w:color w:val="auto"/>
          <w:kern w:val="0"/>
          <w:sz w:val="21"/>
          <w:szCs w:val="21"/>
          <w:u w:color="000000"/>
          <w:lang w:val="en-US" w:eastAsia="zh-CN" w:bidi="ar-SA"/>
        </w:rPr>
        <w:t>（5）投标人针对本项目认为需要提供的其他证明材料。</w:t>
      </w:r>
    </w:p>
    <w:p w14:paraId="339A6B26">
      <w:pPr>
        <w:pStyle w:val="21"/>
        <w:spacing w:line="440" w:lineRule="exact"/>
        <w:ind w:firstLine="0" w:firstLineChars="0"/>
        <w:jc w:val="left"/>
        <w:rPr>
          <w:rFonts w:hint="eastAsia" w:hAnsi="宋体" w:cs="宋体"/>
          <w:b/>
          <w:color w:val="auto"/>
          <w:sz w:val="21"/>
          <w:szCs w:val="21"/>
        </w:rPr>
      </w:pPr>
    </w:p>
    <w:p w14:paraId="5AEF94F4">
      <w:pPr>
        <w:pStyle w:val="21"/>
        <w:spacing w:line="440" w:lineRule="exact"/>
        <w:ind w:firstLine="0" w:firstLineChars="0"/>
        <w:jc w:val="left"/>
        <w:rPr>
          <w:color w:val="auto"/>
        </w:rPr>
      </w:pPr>
      <w:r>
        <w:rPr>
          <w:rFonts w:hint="eastAsia" w:hAnsi="宋体" w:cs="宋体"/>
          <w:b/>
          <w:color w:val="auto"/>
          <w:sz w:val="21"/>
          <w:szCs w:val="21"/>
        </w:rPr>
        <w:t>以上证明材料须按顺序装订，每页均须加盖投标单位公章。投标人所提交的投标文件资料的完整与否，直接影响投标人的投标文件评审。</w:t>
      </w:r>
    </w:p>
    <w:p w14:paraId="53219131">
      <w:pPr>
        <w:pStyle w:val="4"/>
        <w:outlineLvl w:val="9"/>
        <w:rPr>
          <w:color w:val="auto"/>
        </w:rPr>
      </w:pPr>
    </w:p>
    <w:p w14:paraId="3495BF86">
      <w:pPr>
        <w:pStyle w:val="21"/>
        <w:ind w:firstLine="560"/>
        <w:rPr>
          <w:color w:val="auto"/>
        </w:rPr>
      </w:pPr>
    </w:p>
    <w:p w14:paraId="39B11916">
      <w:pPr>
        <w:rPr>
          <w:color w:val="auto"/>
        </w:rPr>
      </w:pPr>
    </w:p>
    <w:p w14:paraId="16C29239">
      <w:pPr>
        <w:pStyle w:val="21"/>
        <w:ind w:firstLine="560"/>
        <w:rPr>
          <w:color w:val="auto"/>
        </w:rPr>
      </w:pPr>
    </w:p>
    <w:p w14:paraId="1EAF7358">
      <w:pPr>
        <w:rPr>
          <w:color w:val="auto"/>
        </w:rPr>
      </w:pPr>
    </w:p>
    <w:p w14:paraId="6C05AAF0">
      <w:pPr>
        <w:pStyle w:val="21"/>
        <w:ind w:firstLine="560"/>
        <w:rPr>
          <w:color w:val="auto"/>
        </w:rPr>
      </w:pPr>
    </w:p>
    <w:p w14:paraId="23474B4B">
      <w:pPr>
        <w:rPr>
          <w:color w:val="auto"/>
        </w:rPr>
      </w:pPr>
    </w:p>
    <w:p w14:paraId="700504F6">
      <w:pPr>
        <w:pStyle w:val="21"/>
        <w:ind w:firstLine="560"/>
        <w:rPr>
          <w:color w:val="auto"/>
        </w:rPr>
      </w:pPr>
    </w:p>
    <w:p w14:paraId="31181314">
      <w:pPr>
        <w:rPr>
          <w:color w:val="auto"/>
        </w:rPr>
      </w:pPr>
    </w:p>
    <w:p w14:paraId="5088B8BF">
      <w:pPr>
        <w:pStyle w:val="21"/>
        <w:ind w:firstLine="560"/>
        <w:rPr>
          <w:color w:val="auto"/>
        </w:rPr>
      </w:pPr>
    </w:p>
    <w:p w14:paraId="57B44404">
      <w:pPr>
        <w:rPr>
          <w:color w:val="auto"/>
        </w:rPr>
      </w:pPr>
    </w:p>
    <w:p w14:paraId="16A29DE1">
      <w:pPr>
        <w:pStyle w:val="21"/>
        <w:ind w:firstLine="560"/>
        <w:rPr>
          <w:color w:val="auto"/>
        </w:rPr>
      </w:pPr>
    </w:p>
    <w:p w14:paraId="3B6D313A">
      <w:pPr>
        <w:rPr>
          <w:color w:val="auto"/>
        </w:rPr>
      </w:pPr>
    </w:p>
    <w:p w14:paraId="60542E80">
      <w:pPr>
        <w:pStyle w:val="21"/>
        <w:ind w:firstLine="560"/>
        <w:rPr>
          <w:color w:val="auto"/>
        </w:rPr>
      </w:pPr>
    </w:p>
    <w:p w14:paraId="75EB028F">
      <w:pPr>
        <w:pStyle w:val="17"/>
        <w:ind w:left="420" w:hanging="420"/>
        <w:rPr>
          <w:color w:val="auto"/>
        </w:rPr>
      </w:pPr>
    </w:p>
    <w:p w14:paraId="109487A7">
      <w:pPr>
        <w:pStyle w:val="17"/>
        <w:ind w:left="420" w:hanging="420"/>
        <w:rPr>
          <w:color w:val="auto"/>
        </w:rPr>
      </w:pPr>
    </w:p>
    <w:p w14:paraId="5C11AD32">
      <w:pPr>
        <w:pStyle w:val="17"/>
        <w:ind w:left="420" w:hanging="420"/>
        <w:rPr>
          <w:color w:val="auto"/>
        </w:rPr>
      </w:pPr>
    </w:p>
    <w:p w14:paraId="07ABD9A0">
      <w:pPr>
        <w:pStyle w:val="17"/>
        <w:ind w:left="0" w:firstLine="0" w:firstLineChars="0"/>
        <w:rPr>
          <w:color w:val="auto"/>
        </w:rPr>
      </w:pPr>
    </w:p>
    <w:p w14:paraId="3AD1C74F">
      <w:pPr>
        <w:pStyle w:val="5"/>
        <w:jc w:val="center"/>
        <w:rPr>
          <w:rFonts w:ascii="宋体" w:hAnsi="宋体" w:cs="宋体"/>
          <w:color w:val="auto"/>
          <w:sz w:val="28"/>
          <w:szCs w:val="28"/>
        </w:rPr>
      </w:pPr>
      <w:r>
        <w:rPr>
          <w:rFonts w:hint="eastAsia" w:ascii="宋体" w:hAnsi="宋体" w:cs="宋体"/>
          <w:color w:val="auto"/>
          <w:sz w:val="28"/>
          <w:szCs w:val="28"/>
        </w:rPr>
        <w:t>（1）法定代表人身份证明</w:t>
      </w:r>
    </w:p>
    <w:p w14:paraId="20C52003">
      <w:pPr>
        <w:spacing w:line="440" w:lineRule="exact"/>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EDA3711">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9ABC540">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2D9BD37B">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AAD13D3">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213928F6">
      <w:pPr>
        <w:spacing w:line="440" w:lineRule="exact"/>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5CB47DD3">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14:paraId="77BEEE33">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14:paraId="5507933F">
      <w:pPr>
        <w:spacing w:line="440" w:lineRule="exact"/>
        <w:rPr>
          <w:rFonts w:ascii="宋体" w:hAnsi="宋体" w:cs="宋体"/>
          <w:b/>
          <w:bCs/>
          <w:color w:val="auto"/>
          <w:szCs w:val="21"/>
        </w:rPr>
      </w:pPr>
      <w:r>
        <w:rPr>
          <w:rFonts w:hint="eastAsia" w:ascii="宋体" w:hAnsi="宋体" w:cs="宋体"/>
          <w:b/>
          <w:bCs/>
          <w:color w:val="auto"/>
          <w:szCs w:val="21"/>
        </w:rPr>
        <w:t>附：法定代表人有效身份证</w:t>
      </w:r>
    </w:p>
    <w:p w14:paraId="2B6905D2">
      <w:pPr>
        <w:spacing w:line="440" w:lineRule="exact"/>
        <w:rPr>
          <w:rFonts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4E0F82E6">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1A3AC4B4">
      <w:pPr>
        <w:spacing w:line="540" w:lineRule="exact"/>
        <w:rPr>
          <w:rFonts w:ascii="宋体" w:hAnsi="宋体" w:cs="宋体"/>
          <w:color w:val="auto"/>
        </w:rPr>
      </w:pPr>
    </w:p>
    <w:p w14:paraId="6A926D2D">
      <w:pPr>
        <w:pStyle w:val="5"/>
        <w:jc w:val="center"/>
        <w:rPr>
          <w:rFonts w:ascii="宋体" w:hAnsi="宋体" w:cs="宋体"/>
          <w:color w:val="auto"/>
          <w:sz w:val="28"/>
          <w:szCs w:val="28"/>
        </w:rPr>
      </w:pPr>
      <w:r>
        <w:rPr>
          <w:rFonts w:hint="eastAsia" w:ascii="宋体" w:hAnsi="宋体" w:cs="宋体"/>
          <w:color w:val="auto"/>
          <w:sz w:val="28"/>
          <w:szCs w:val="28"/>
        </w:rPr>
        <w:t>或（1）授权委托书</w:t>
      </w:r>
    </w:p>
    <w:p w14:paraId="029EDE93">
      <w:pPr>
        <w:spacing w:line="500" w:lineRule="exact"/>
        <w:ind w:firstLine="420" w:firstLineChars="200"/>
        <w:rPr>
          <w:rFonts w:ascii="宋体" w:hAnsi="宋体" w:cs="宋体"/>
          <w:color w:val="auto"/>
          <w:szCs w:val="21"/>
        </w:rPr>
      </w:pPr>
      <w:r>
        <w:rPr>
          <w:rFonts w:hint="eastAsia" w:ascii="宋体" w:hAnsi="宋体" w:cs="宋体"/>
          <w:color w:val="auto"/>
          <w:szCs w:val="21"/>
        </w:rPr>
        <w:t>本授权委托书声明：我</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 xml:space="preserve">          （供应商名称）</w:t>
      </w:r>
      <w:r>
        <w:rPr>
          <w:rFonts w:hint="eastAsia" w:ascii="宋体" w:hAnsi="宋体" w:cs="宋体"/>
          <w:color w:val="auto"/>
          <w:szCs w:val="21"/>
        </w:rPr>
        <w:t>的法定代表人，现授权委托</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（姓名） </w:t>
      </w:r>
      <w:r>
        <w:rPr>
          <w:rFonts w:hint="eastAsia" w:ascii="宋体" w:hAnsi="宋体" w:cs="宋体"/>
          <w:color w:val="auto"/>
          <w:szCs w:val="21"/>
        </w:rPr>
        <w:t>为我公司法定代表人授权委托代理人，参加</w:t>
      </w:r>
      <w:r>
        <w:rPr>
          <w:rFonts w:hint="eastAsia" w:ascii="宋体" w:hAnsi="宋体" w:cs="宋体"/>
          <w:color w:val="auto"/>
          <w:szCs w:val="21"/>
          <w:u w:val="single"/>
        </w:rPr>
        <w:t xml:space="preserve">      招标人     </w:t>
      </w:r>
      <w:r>
        <w:rPr>
          <w:rFonts w:hint="eastAsia" w:ascii="宋体" w:hAnsi="宋体" w:cs="宋体"/>
          <w:color w:val="auto"/>
          <w:szCs w:val="21"/>
        </w:rPr>
        <w:t>的</w:t>
      </w:r>
      <w:r>
        <w:rPr>
          <w:rFonts w:hint="eastAsia" w:ascii="宋体" w:hAnsi="宋体" w:cs="宋体"/>
          <w:color w:val="auto"/>
          <w:szCs w:val="21"/>
          <w:u w:val="single"/>
        </w:rPr>
        <w:t xml:space="preserve">                    </w:t>
      </w:r>
      <w:r>
        <w:rPr>
          <w:rFonts w:hint="eastAsia" w:ascii="宋体" w:hAnsi="宋体" w:cs="宋体"/>
          <w:color w:val="auto"/>
          <w:szCs w:val="21"/>
        </w:rPr>
        <w:t>设计的投标活动。代理人在投标、开标、评标、合同谈判过程中所签署的一切文件和处理与之有关的一切事务，我均予以承认。</w:t>
      </w:r>
    </w:p>
    <w:p w14:paraId="5C364F97">
      <w:pPr>
        <w:spacing w:line="500" w:lineRule="exact"/>
        <w:ind w:firstLine="420" w:firstLineChars="200"/>
        <w:rPr>
          <w:rFonts w:ascii="宋体" w:hAnsi="宋体" w:cs="宋体"/>
          <w:color w:val="auto"/>
          <w:szCs w:val="21"/>
        </w:rPr>
      </w:pPr>
      <w:r>
        <w:rPr>
          <w:rFonts w:hint="eastAsia" w:ascii="宋体" w:hAnsi="宋体" w:cs="宋体"/>
          <w:color w:val="auto"/>
          <w:szCs w:val="21"/>
        </w:rPr>
        <w:t>代理人无转委托权，特此委托。</w:t>
      </w:r>
    </w:p>
    <w:p w14:paraId="3FBB2228">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附：授权代理人有效身份证及法定代表人有效身份证 </w:t>
      </w:r>
      <w:r>
        <w:rPr>
          <w:rFonts w:hint="eastAsia" w:ascii="宋体" w:hAnsi="宋体" w:cs="宋体"/>
          <w:color w:val="auto"/>
          <w:szCs w:val="21"/>
        </w:rPr>
        <w:t xml:space="preserve">         </w:t>
      </w:r>
    </w:p>
    <w:p w14:paraId="6FE0C5D2">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                                   </w:t>
      </w:r>
    </w:p>
    <w:p w14:paraId="59A75829">
      <w:pPr>
        <w:spacing w:line="500" w:lineRule="exact"/>
        <w:ind w:right="24" w:firstLine="4200" w:firstLineChars="2000"/>
        <w:rPr>
          <w:rFonts w:ascii="宋体" w:hAnsi="宋体" w:cs="宋体"/>
          <w:color w:val="auto"/>
          <w:szCs w:val="21"/>
        </w:rPr>
      </w:pPr>
      <w:r>
        <w:rPr>
          <w:rFonts w:hint="eastAsia" w:ascii="宋体" w:hAnsi="宋体" w:cs="宋体"/>
          <w:color w:val="auto"/>
          <w:szCs w:val="21"/>
        </w:rPr>
        <w:t xml:space="preserve">   授权代理人：</w:t>
      </w:r>
      <w:r>
        <w:rPr>
          <w:rFonts w:hint="eastAsia" w:ascii="宋体" w:hAnsi="宋体" w:cs="宋体"/>
          <w:color w:val="auto"/>
          <w:szCs w:val="21"/>
          <w:u w:val="single"/>
        </w:rPr>
        <w:t xml:space="preserve">        （签字或盖章）      </w:t>
      </w:r>
    </w:p>
    <w:p w14:paraId="3E5032D6">
      <w:pPr>
        <w:spacing w:line="500" w:lineRule="exact"/>
        <w:ind w:firstLine="2205" w:firstLineChars="1050"/>
        <w:rPr>
          <w:rFonts w:ascii="宋体" w:hAnsi="宋体" w:cs="宋体"/>
          <w:color w:val="auto"/>
          <w:szCs w:val="21"/>
        </w:rPr>
      </w:pPr>
      <w:r>
        <w:rPr>
          <w:rFonts w:hint="eastAsia" w:ascii="宋体" w:hAnsi="宋体" w:cs="宋体"/>
          <w:color w:val="auto"/>
          <w:szCs w:val="21"/>
        </w:rPr>
        <w:t xml:space="preserve">                     投  标  人：</w:t>
      </w:r>
      <w:r>
        <w:rPr>
          <w:rFonts w:hint="eastAsia" w:ascii="宋体" w:hAnsi="宋体" w:cs="宋体"/>
          <w:color w:val="auto"/>
          <w:szCs w:val="21"/>
          <w:u w:val="single"/>
        </w:rPr>
        <w:t xml:space="preserve">           （盖章）         </w:t>
      </w:r>
    </w:p>
    <w:p w14:paraId="182E802A">
      <w:pPr>
        <w:spacing w:line="500" w:lineRule="exact"/>
        <w:ind w:right="204" w:firstLine="2205" w:firstLineChars="105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（签字或盖章）      </w:t>
      </w:r>
    </w:p>
    <w:p w14:paraId="0AC24C43">
      <w:pPr>
        <w:wordWrap w:val="0"/>
        <w:spacing w:line="500" w:lineRule="exact"/>
        <w:ind w:firstLine="420" w:firstLineChars="200"/>
        <w:jc w:val="center"/>
        <w:rPr>
          <w:rFonts w:ascii="宋体" w:hAnsi="宋体" w:cs="宋体"/>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 </w:t>
      </w:r>
    </w:p>
    <w:p w14:paraId="25401311">
      <w:pPr>
        <w:pStyle w:val="21"/>
        <w:ind w:firstLine="0" w:firstLineChars="0"/>
        <w:rPr>
          <w:color w:val="auto"/>
        </w:rPr>
      </w:pPr>
    </w:p>
    <w:p w14:paraId="76A29082">
      <w:pPr>
        <w:pStyle w:val="17"/>
        <w:ind w:left="0" w:leftChars="0" w:firstLine="0" w:firstLineChars="0"/>
        <w:rPr>
          <w:color w:val="auto"/>
        </w:rPr>
      </w:pPr>
    </w:p>
    <w:p w14:paraId="548152FC">
      <w:pPr>
        <w:pStyle w:val="17"/>
        <w:ind w:left="420" w:hanging="420"/>
        <w:rPr>
          <w:color w:val="auto"/>
        </w:rPr>
      </w:pPr>
    </w:p>
    <w:p w14:paraId="1232E5D3">
      <w:pPr>
        <w:ind w:firstLine="3204" w:firstLineChars="1140"/>
        <w:rPr>
          <w:rFonts w:ascii="宋体" w:hAnsi="宋体" w:cs="宋体"/>
          <w:b/>
          <w:bCs/>
          <w:color w:val="auto"/>
          <w:sz w:val="28"/>
          <w:szCs w:val="28"/>
        </w:rPr>
      </w:pPr>
      <w:r>
        <w:rPr>
          <w:rFonts w:hint="eastAsia" w:ascii="宋体" w:hAnsi="宋体" w:cs="宋体"/>
          <w:b/>
          <w:bCs/>
          <w:color w:val="auto"/>
          <w:sz w:val="28"/>
          <w:szCs w:val="28"/>
        </w:rPr>
        <w:t>(2)诚信投标承诺书</w:t>
      </w:r>
    </w:p>
    <w:p w14:paraId="6408FE22">
      <w:pPr>
        <w:spacing w:line="50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14:paraId="7E910C7F">
      <w:pPr>
        <w:spacing w:line="5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14:paraId="43F5AF16">
      <w:pPr>
        <w:spacing w:line="500" w:lineRule="exact"/>
        <w:ind w:firstLine="420" w:firstLineChars="200"/>
        <w:rPr>
          <w:rFonts w:ascii="宋体" w:hAnsi="宋体"/>
          <w:color w:val="auto"/>
          <w:szCs w:val="21"/>
        </w:rPr>
      </w:pPr>
      <w:r>
        <w:rPr>
          <w:rFonts w:hint="eastAsia" w:ascii="宋体" w:hAnsi="宋体"/>
          <w:color w:val="auto"/>
          <w:szCs w:val="21"/>
        </w:rPr>
        <w:t>二、本单位郑重声明，根据</w:t>
      </w:r>
      <w:r>
        <w:rPr>
          <w:rFonts w:hint="eastAsia" w:ascii="宋体" w:cs="宋体"/>
          <w:color w:val="auto"/>
          <w:szCs w:val="21"/>
        </w:rPr>
        <w:t>《中华人民共和国招投标法</w:t>
      </w:r>
      <w:r>
        <w:rPr>
          <w:rFonts w:hint="eastAsia" w:ascii="宋体" w:hAnsi="宋体"/>
          <w:color w:val="auto"/>
          <w:szCs w:val="21"/>
        </w:rPr>
        <w:t>》的规定，我公司具有良好的商业信誉和健全的财务会计制度，具有履行合同所必需的设备和专业技术能力，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4B4906CC">
      <w:pPr>
        <w:spacing w:line="5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604A9641">
      <w:pPr>
        <w:spacing w:line="5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65E46803">
      <w:pPr>
        <w:spacing w:line="5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187F5575">
      <w:pPr>
        <w:spacing w:line="500" w:lineRule="exact"/>
        <w:ind w:firstLine="420" w:firstLineChars="200"/>
        <w:rPr>
          <w:rFonts w:hint="eastAsia" w:ascii="宋体" w:hAnsi="宋体"/>
          <w:color w:val="auto"/>
          <w:szCs w:val="21"/>
          <w:lang w:val="en-US" w:eastAsia="zh-CN"/>
        </w:rPr>
      </w:pPr>
      <w:r>
        <w:rPr>
          <w:rFonts w:hint="eastAsia" w:ascii="宋体" w:hAnsi="宋体"/>
          <w:color w:val="auto"/>
          <w:szCs w:val="21"/>
        </w:rPr>
        <w:t>六、我公司没有下列情形： 1、被人民法院列入失信被执行人的；2、</w:t>
      </w:r>
      <w:r>
        <w:rPr>
          <w:rFonts w:hint="eastAsia" w:hAnsi="宋体" w:cs="宋体"/>
          <w:color w:val="auto"/>
          <w:szCs w:val="21"/>
        </w:rPr>
        <w:t>投标人或其法定代表人或拟派项目负责人前三年有行贿犯罪行为的</w:t>
      </w:r>
      <w:r>
        <w:rPr>
          <w:rFonts w:hint="eastAsia" w:ascii="宋体" w:hAnsi="宋体"/>
          <w:color w:val="auto"/>
          <w:szCs w:val="21"/>
        </w:rPr>
        <w:t>；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9、被人力资源社会保障行政部门列入拖欠农民工工资“黑名单”的；</w:t>
      </w:r>
      <w:r>
        <w:rPr>
          <w:rFonts w:hint="eastAsia" w:ascii="宋体" w:hAnsi="宋体"/>
          <w:color w:val="auto"/>
          <w:szCs w:val="21"/>
          <w:lang w:val="en-US" w:eastAsia="zh-CN"/>
        </w:rPr>
        <w:t xml:space="preserve"> </w:t>
      </w:r>
    </w:p>
    <w:p w14:paraId="2B082AB8">
      <w:pPr>
        <w:spacing w:line="5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14:paraId="13BEE5D6">
      <w:pPr>
        <w:spacing w:line="5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14:paraId="2349F07C">
      <w:pPr>
        <w:spacing w:line="500" w:lineRule="exact"/>
        <w:ind w:firstLine="420" w:firstLineChars="200"/>
        <w:rPr>
          <w:rFonts w:ascii="宋体" w:hAnsi="宋体"/>
          <w:color w:val="auto"/>
          <w:szCs w:val="21"/>
        </w:rPr>
      </w:pPr>
      <w:r>
        <w:rPr>
          <w:rFonts w:hint="eastAsia" w:ascii="宋体" w:hAnsi="宋体"/>
          <w:color w:val="auto"/>
          <w:szCs w:val="21"/>
        </w:rPr>
        <w:t>九、保证中标之后，按照投标文件要求提供相关后续服务；</w:t>
      </w:r>
    </w:p>
    <w:p w14:paraId="22527E33">
      <w:pPr>
        <w:spacing w:line="5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14:paraId="6B15D0FD">
      <w:pPr>
        <w:spacing w:line="5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5E33DCC">
      <w:pPr>
        <w:spacing w:line="5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74345DC8">
      <w:pPr>
        <w:spacing w:line="500" w:lineRule="exact"/>
        <w:ind w:firstLine="420" w:firstLineChars="200"/>
        <w:rPr>
          <w:rFonts w:ascii="宋体" w:hAnsi="宋体"/>
          <w:color w:val="auto"/>
          <w:szCs w:val="21"/>
        </w:rPr>
      </w:pPr>
      <w:r>
        <w:rPr>
          <w:rFonts w:hint="eastAsia" w:ascii="宋体" w:hAnsi="宋体"/>
          <w:color w:val="auto"/>
          <w:szCs w:val="21"/>
        </w:rPr>
        <w:t> </w:t>
      </w:r>
    </w:p>
    <w:p w14:paraId="4E96269E">
      <w:pPr>
        <w:spacing w:line="500" w:lineRule="exact"/>
        <w:ind w:firstLine="420" w:firstLineChars="200"/>
        <w:rPr>
          <w:rFonts w:ascii="宋体" w:hAnsi="宋体"/>
          <w:color w:val="auto"/>
          <w:szCs w:val="21"/>
        </w:rPr>
      </w:pPr>
      <w:r>
        <w:rPr>
          <w:rFonts w:hint="eastAsia" w:ascii="宋体" w:hAnsi="宋体"/>
          <w:color w:val="auto"/>
          <w:szCs w:val="21"/>
        </w:rPr>
        <w:t>开户银行：                          基本账户：</w:t>
      </w:r>
    </w:p>
    <w:p w14:paraId="3A3ABA23">
      <w:pPr>
        <w:spacing w:line="500" w:lineRule="exact"/>
        <w:ind w:firstLine="420" w:firstLineChars="200"/>
        <w:rPr>
          <w:rFonts w:ascii="宋体" w:hAnsi="宋体"/>
          <w:color w:val="auto"/>
          <w:szCs w:val="21"/>
        </w:rPr>
      </w:pPr>
      <w:r>
        <w:rPr>
          <w:rFonts w:hint="eastAsia" w:ascii="宋体" w:hAnsi="宋体"/>
          <w:color w:val="auto"/>
          <w:szCs w:val="21"/>
        </w:rPr>
        <w:t>投标单位（盖章）：                法定代表人（签字或盖章）：</w:t>
      </w:r>
    </w:p>
    <w:p w14:paraId="11DCF7A0">
      <w:pPr>
        <w:spacing w:line="500" w:lineRule="exact"/>
        <w:ind w:firstLine="420" w:firstLineChars="200"/>
        <w:rPr>
          <w:rFonts w:ascii="宋体" w:hAnsi="宋体"/>
          <w:color w:val="auto"/>
          <w:szCs w:val="21"/>
        </w:rPr>
      </w:pPr>
    </w:p>
    <w:p w14:paraId="4FC23A97">
      <w:pPr>
        <w:spacing w:line="560" w:lineRule="exact"/>
        <w:jc w:val="right"/>
        <w:rPr>
          <w:rFonts w:ascii="仿宋_GB2312" w:eastAsia="仿宋_GB2312"/>
          <w:color w:val="auto"/>
          <w:sz w:val="32"/>
          <w:szCs w:val="32"/>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47BA6218">
      <w:pPr>
        <w:jc w:val="center"/>
        <w:rPr>
          <w:rFonts w:ascii="宋体" w:hAnsi="宋体" w:cs="宋体"/>
          <w:b/>
          <w:color w:val="auto"/>
          <w:sz w:val="24"/>
        </w:rPr>
      </w:pPr>
    </w:p>
    <w:p w14:paraId="78EF709A">
      <w:pPr>
        <w:jc w:val="center"/>
        <w:rPr>
          <w:rFonts w:ascii="宋体" w:hAnsi="宋体" w:cs="宋体"/>
          <w:b/>
          <w:color w:val="auto"/>
          <w:sz w:val="24"/>
        </w:rPr>
      </w:pPr>
    </w:p>
    <w:p w14:paraId="01769958">
      <w:pPr>
        <w:pStyle w:val="21"/>
        <w:ind w:firstLine="0" w:firstLineChars="0"/>
        <w:rPr>
          <w:rFonts w:hAnsi="宋体" w:cs="宋体"/>
          <w:b/>
          <w:bCs/>
          <w:color w:val="auto"/>
          <w:szCs w:val="28"/>
        </w:rPr>
      </w:pPr>
    </w:p>
    <w:p w14:paraId="0B78F732">
      <w:pPr>
        <w:rPr>
          <w:rFonts w:ascii="宋体" w:hAnsi="宋体" w:cs="宋体"/>
          <w:b/>
          <w:bCs/>
          <w:color w:val="auto"/>
          <w:szCs w:val="28"/>
        </w:rPr>
      </w:pPr>
    </w:p>
    <w:p w14:paraId="707DCFE5">
      <w:pPr>
        <w:pStyle w:val="21"/>
        <w:ind w:firstLine="562"/>
        <w:rPr>
          <w:rFonts w:hAnsi="宋体" w:cs="宋体"/>
          <w:b/>
          <w:bCs/>
          <w:color w:val="auto"/>
          <w:szCs w:val="28"/>
        </w:rPr>
      </w:pPr>
    </w:p>
    <w:p w14:paraId="79B99ACE">
      <w:pPr>
        <w:pStyle w:val="3"/>
        <w:jc w:val="center"/>
        <w:outlineLvl w:val="9"/>
        <w:rPr>
          <w:color w:val="auto"/>
          <w:sz w:val="32"/>
          <w:szCs w:val="21"/>
        </w:rPr>
      </w:pPr>
      <w:bookmarkStart w:id="220" w:name="_Toc21013"/>
      <w:r>
        <w:rPr>
          <w:rFonts w:hint="eastAsia"/>
          <w:color w:val="auto"/>
          <w:sz w:val="32"/>
          <w:szCs w:val="21"/>
        </w:rPr>
        <w:t xml:space="preserve">      </w:t>
      </w:r>
    </w:p>
    <w:p w14:paraId="5C2AA13F">
      <w:pPr>
        <w:rPr>
          <w:color w:val="auto"/>
          <w:sz w:val="32"/>
          <w:szCs w:val="21"/>
        </w:rPr>
      </w:pPr>
    </w:p>
    <w:p w14:paraId="5AB26D79">
      <w:pPr>
        <w:pStyle w:val="2"/>
        <w:rPr>
          <w:color w:val="auto"/>
          <w:sz w:val="32"/>
          <w:szCs w:val="21"/>
        </w:rPr>
      </w:pPr>
    </w:p>
    <w:p w14:paraId="2A34BA4D">
      <w:pPr>
        <w:rPr>
          <w:color w:val="auto"/>
          <w:sz w:val="32"/>
          <w:szCs w:val="21"/>
        </w:rPr>
      </w:pPr>
    </w:p>
    <w:p w14:paraId="1ED979EF">
      <w:pPr>
        <w:pStyle w:val="2"/>
        <w:rPr>
          <w:color w:val="auto"/>
          <w:sz w:val="32"/>
          <w:szCs w:val="21"/>
        </w:rPr>
      </w:pPr>
    </w:p>
    <w:p w14:paraId="76D582B4">
      <w:pPr>
        <w:rPr>
          <w:color w:val="auto"/>
          <w:sz w:val="32"/>
          <w:szCs w:val="21"/>
        </w:rPr>
      </w:pPr>
    </w:p>
    <w:p w14:paraId="48C59727">
      <w:pPr>
        <w:pStyle w:val="2"/>
        <w:rPr>
          <w:color w:val="auto"/>
        </w:rPr>
      </w:pPr>
    </w:p>
    <w:p w14:paraId="2BEBBC95">
      <w:pPr>
        <w:rPr>
          <w:color w:val="auto"/>
        </w:rPr>
      </w:pPr>
    </w:p>
    <w:p w14:paraId="6A6EF31E">
      <w:pPr>
        <w:pStyle w:val="4"/>
        <w:outlineLvl w:val="9"/>
        <w:rPr>
          <w:color w:val="auto"/>
        </w:rPr>
      </w:pPr>
    </w:p>
    <w:p w14:paraId="751A263A">
      <w:pPr>
        <w:rPr>
          <w:rFonts w:ascii="宋体" w:hAnsi="宋体"/>
          <w:b/>
          <w:color w:val="auto"/>
          <w:sz w:val="24"/>
        </w:rPr>
      </w:pPr>
    </w:p>
    <w:p w14:paraId="5368E4DD">
      <w:pPr>
        <w:spacing w:line="400" w:lineRule="exact"/>
        <w:ind w:firstLine="560" w:firstLineChars="200"/>
        <w:rPr>
          <w:color w:val="auto"/>
          <w:sz w:val="28"/>
          <w:szCs w:val="28"/>
        </w:rPr>
      </w:pPr>
    </w:p>
    <w:p w14:paraId="72C8B747">
      <w:pPr>
        <w:pStyle w:val="3"/>
        <w:outlineLvl w:val="9"/>
        <w:rPr>
          <w:color w:val="auto"/>
          <w:sz w:val="32"/>
          <w:szCs w:val="21"/>
        </w:rPr>
      </w:pPr>
    </w:p>
    <w:p w14:paraId="012C6FD2">
      <w:pPr>
        <w:pStyle w:val="3"/>
        <w:jc w:val="center"/>
        <w:rPr>
          <w:rFonts w:ascii="宋体"/>
          <w:b w:val="0"/>
          <w:color w:val="auto"/>
        </w:rPr>
      </w:pPr>
      <w:r>
        <w:rPr>
          <w:rFonts w:hint="eastAsia"/>
          <w:color w:val="auto"/>
          <w:sz w:val="32"/>
          <w:szCs w:val="21"/>
        </w:rPr>
        <w:t xml:space="preserve">                                    </w:t>
      </w:r>
      <w:bookmarkStart w:id="221" w:name="_Toc16665"/>
      <w:r>
        <w:rPr>
          <w:rFonts w:hint="eastAsia"/>
          <w:color w:val="auto"/>
          <w:sz w:val="32"/>
          <w:szCs w:val="21"/>
        </w:rPr>
        <w:t>正本/副本</w:t>
      </w:r>
      <w:bookmarkEnd w:id="221"/>
    </w:p>
    <w:p w14:paraId="70DCAD2C">
      <w:pPr>
        <w:pStyle w:val="3"/>
        <w:jc w:val="center"/>
        <w:rPr>
          <w:rFonts w:ascii="宋体"/>
          <w:b w:val="0"/>
          <w:color w:val="auto"/>
        </w:rPr>
      </w:pPr>
      <w:bookmarkStart w:id="222" w:name="_Toc28957"/>
      <w:bookmarkStart w:id="223" w:name="_Toc1724"/>
      <w:r>
        <w:rPr>
          <w:rFonts w:hint="eastAsia" w:ascii="宋体"/>
          <w:b w:val="0"/>
          <w:color w:val="auto"/>
        </w:rPr>
        <w:t>技术标文件</w:t>
      </w:r>
      <w:bookmarkEnd w:id="220"/>
      <w:bookmarkEnd w:id="222"/>
      <w:bookmarkEnd w:id="223"/>
    </w:p>
    <w:p w14:paraId="43297EAA">
      <w:pPr>
        <w:jc w:val="center"/>
        <w:rPr>
          <w:rFonts w:ascii="宋体"/>
          <w:color w:val="auto"/>
          <w:sz w:val="32"/>
          <w:szCs w:val="32"/>
        </w:rPr>
      </w:pPr>
      <w:r>
        <w:rPr>
          <w:rFonts w:hint="eastAsia" w:ascii="宋体"/>
          <w:color w:val="auto"/>
          <w:sz w:val="32"/>
          <w:szCs w:val="32"/>
        </w:rPr>
        <w:t>（投标文件二）</w:t>
      </w:r>
    </w:p>
    <w:p w14:paraId="6BE67C25">
      <w:pPr>
        <w:jc w:val="center"/>
        <w:rPr>
          <w:rFonts w:eastAsia="黑体"/>
          <w:color w:val="auto"/>
          <w:sz w:val="44"/>
          <w:szCs w:val="44"/>
        </w:rPr>
      </w:pPr>
    </w:p>
    <w:p w14:paraId="5A69F049">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 xml:space="preserve">项目名称 </w:t>
      </w:r>
    </w:p>
    <w:p w14:paraId="4D6E4D3C">
      <w:pPr>
        <w:rPr>
          <w:rFonts w:ascii="宋体"/>
          <w:color w:val="auto"/>
          <w:sz w:val="28"/>
          <w:szCs w:val="28"/>
        </w:rPr>
      </w:pPr>
    </w:p>
    <w:p w14:paraId="469592ED">
      <w:pPr>
        <w:rPr>
          <w:rFonts w:ascii="宋体"/>
          <w:color w:val="auto"/>
          <w:sz w:val="28"/>
          <w:szCs w:val="28"/>
        </w:rPr>
      </w:pPr>
    </w:p>
    <w:p w14:paraId="63327FDA">
      <w:pPr>
        <w:rPr>
          <w:rFonts w:ascii="宋体"/>
          <w:color w:val="auto"/>
          <w:sz w:val="28"/>
          <w:szCs w:val="28"/>
        </w:rPr>
      </w:pPr>
    </w:p>
    <w:p w14:paraId="52A713E8">
      <w:pPr>
        <w:rPr>
          <w:rFonts w:ascii="宋体"/>
          <w:color w:val="auto"/>
          <w:sz w:val="28"/>
          <w:szCs w:val="28"/>
        </w:rPr>
      </w:pPr>
    </w:p>
    <w:p w14:paraId="00A200AF">
      <w:pPr>
        <w:pStyle w:val="21"/>
        <w:ind w:left="420" w:firstLine="560"/>
        <w:rPr>
          <w:color w:val="auto"/>
          <w:szCs w:val="28"/>
        </w:rPr>
      </w:pPr>
    </w:p>
    <w:p w14:paraId="26133CB7">
      <w:pPr>
        <w:rPr>
          <w:rFonts w:ascii="宋体"/>
          <w:color w:val="auto"/>
          <w:sz w:val="28"/>
          <w:szCs w:val="28"/>
        </w:rPr>
      </w:pPr>
    </w:p>
    <w:p w14:paraId="22D945D1">
      <w:pPr>
        <w:rPr>
          <w:rFonts w:ascii="宋体"/>
          <w:color w:val="auto"/>
          <w:sz w:val="28"/>
          <w:szCs w:val="28"/>
        </w:rPr>
      </w:pPr>
    </w:p>
    <w:p w14:paraId="72750B59">
      <w:pPr>
        <w:rPr>
          <w:rFonts w:ascii="宋体"/>
          <w:color w:val="auto"/>
          <w:sz w:val="28"/>
          <w:szCs w:val="28"/>
        </w:rPr>
      </w:pPr>
    </w:p>
    <w:p w14:paraId="12882038">
      <w:pPr>
        <w:jc w:val="center"/>
        <w:rPr>
          <w:rFonts w:ascii="宋体"/>
          <w:color w:val="auto"/>
          <w:sz w:val="28"/>
          <w:szCs w:val="28"/>
          <w:u w:val="single"/>
        </w:rPr>
      </w:pPr>
      <w:r>
        <w:rPr>
          <w:rFonts w:hint="eastAsia" w:ascii="宋体"/>
          <w:color w:val="auto"/>
          <w:sz w:val="28"/>
          <w:szCs w:val="28"/>
        </w:rPr>
        <w:t>供应商：</w:t>
      </w:r>
      <w:r>
        <w:rPr>
          <w:rFonts w:hint="eastAsia" w:ascii="宋体"/>
          <w:color w:val="auto"/>
          <w:sz w:val="28"/>
          <w:szCs w:val="28"/>
          <w:u w:val="single"/>
        </w:rPr>
        <w:t xml:space="preserve">                                  </w:t>
      </w:r>
      <w:r>
        <w:rPr>
          <w:rFonts w:hint="eastAsia" w:ascii="宋体"/>
          <w:color w:val="auto"/>
          <w:sz w:val="28"/>
          <w:szCs w:val="28"/>
        </w:rPr>
        <w:t>（盖章）</w:t>
      </w:r>
    </w:p>
    <w:p w14:paraId="774B4398">
      <w:pPr>
        <w:jc w:val="left"/>
        <w:rPr>
          <w:rFonts w:ascii="宋体"/>
          <w:color w:val="auto"/>
          <w:sz w:val="28"/>
          <w:szCs w:val="28"/>
        </w:rPr>
      </w:pPr>
      <w:r>
        <w:rPr>
          <w:rFonts w:hint="eastAsia" w:ascii="宋体"/>
          <w:color w:val="auto"/>
          <w:sz w:val="28"/>
          <w:szCs w:val="28"/>
        </w:rPr>
        <w:t xml:space="preserve">          法定代表人 ：</w:t>
      </w:r>
      <w:r>
        <w:rPr>
          <w:rFonts w:hint="eastAsia" w:ascii="宋体"/>
          <w:color w:val="auto"/>
          <w:sz w:val="28"/>
          <w:szCs w:val="28"/>
          <w:u w:val="single"/>
        </w:rPr>
        <w:t xml:space="preserve">                         </w:t>
      </w:r>
      <w:r>
        <w:rPr>
          <w:rFonts w:hint="eastAsia" w:ascii="宋体"/>
          <w:color w:val="auto"/>
          <w:sz w:val="28"/>
          <w:szCs w:val="28"/>
        </w:rPr>
        <w:t>（签字或盖章）</w:t>
      </w:r>
    </w:p>
    <w:p w14:paraId="3E9D3080">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7097ACA1">
      <w:pPr>
        <w:pStyle w:val="26"/>
        <w:ind w:firstLine="480"/>
        <w:rPr>
          <w:color w:val="auto"/>
        </w:rPr>
      </w:pPr>
    </w:p>
    <w:p w14:paraId="770144BA">
      <w:pPr>
        <w:pStyle w:val="26"/>
        <w:ind w:firstLine="883"/>
        <w:rPr>
          <w:b/>
          <w:color w:val="auto"/>
          <w:sz w:val="44"/>
          <w:szCs w:val="44"/>
        </w:rPr>
      </w:pPr>
    </w:p>
    <w:p w14:paraId="79C2ABD1">
      <w:pPr>
        <w:pStyle w:val="26"/>
        <w:ind w:firstLine="883"/>
        <w:rPr>
          <w:b/>
          <w:color w:val="auto"/>
          <w:sz w:val="44"/>
          <w:szCs w:val="44"/>
        </w:rPr>
      </w:pPr>
    </w:p>
    <w:p w14:paraId="0C0AFC84">
      <w:pPr>
        <w:spacing w:line="500" w:lineRule="exact"/>
        <w:jc w:val="center"/>
        <w:rPr>
          <w:b/>
          <w:color w:val="auto"/>
          <w:sz w:val="32"/>
          <w:szCs w:val="32"/>
        </w:rPr>
      </w:pPr>
      <w:r>
        <w:rPr>
          <w:rFonts w:hint="eastAsia"/>
          <w:b/>
          <w:color w:val="auto"/>
          <w:sz w:val="32"/>
          <w:szCs w:val="32"/>
        </w:rPr>
        <w:t>目   录</w:t>
      </w:r>
    </w:p>
    <w:p w14:paraId="45604D23">
      <w:pPr>
        <w:pStyle w:val="26"/>
        <w:ind w:firstLine="480"/>
        <w:rPr>
          <w:color w:val="auto"/>
        </w:rPr>
      </w:pPr>
    </w:p>
    <w:p w14:paraId="7785044C">
      <w:pPr>
        <w:spacing w:line="440" w:lineRule="exact"/>
        <w:jc w:val="left"/>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服务方案</w:t>
      </w:r>
      <w:r>
        <w:rPr>
          <w:rFonts w:hint="eastAsia" w:ascii="宋体" w:hAnsi="宋体" w:cs="宋体"/>
          <w:bCs/>
          <w:color w:val="auto"/>
          <w:szCs w:val="21"/>
        </w:rPr>
        <w:t>（格式自拟）；</w:t>
      </w:r>
    </w:p>
    <w:p w14:paraId="25949BA4">
      <w:pPr>
        <w:spacing w:line="440" w:lineRule="exact"/>
        <w:jc w:val="left"/>
        <w:rPr>
          <w:rFonts w:ascii="宋体" w:hAnsi="宋体" w:cs="宋体"/>
          <w:bCs/>
          <w:color w:val="auto"/>
          <w:szCs w:val="21"/>
        </w:rPr>
      </w:pPr>
      <w:r>
        <w:rPr>
          <w:rFonts w:hint="eastAsia" w:ascii="宋体" w:hAnsi="宋体" w:cs="宋体"/>
          <w:color w:val="auto"/>
          <w:spacing w:val="-2"/>
          <w:szCs w:val="21"/>
        </w:rPr>
        <w:t>（2）</w:t>
      </w:r>
      <w:r>
        <w:rPr>
          <w:rFonts w:hint="eastAsia" w:ascii="宋体" w:hAnsi="宋体" w:cs="宋体"/>
          <w:color w:val="auto"/>
          <w:spacing w:val="-2"/>
          <w:szCs w:val="21"/>
          <w:lang w:val="en-US" w:eastAsia="zh-Hans"/>
        </w:rPr>
        <w:t>团队成员配备</w:t>
      </w:r>
      <w:r>
        <w:rPr>
          <w:rFonts w:hint="eastAsia" w:ascii="宋体" w:hAnsi="宋体" w:cs="宋体"/>
          <w:bCs/>
          <w:color w:val="auto"/>
          <w:szCs w:val="21"/>
        </w:rPr>
        <w:t>；</w:t>
      </w:r>
    </w:p>
    <w:p w14:paraId="3E44D9BD">
      <w:pPr>
        <w:spacing w:line="440" w:lineRule="exact"/>
        <w:jc w:val="left"/>
        <w:rPr>
          <w:rFonts w:hint="eastAsia" w:ascii="宋体" w:hAnsi="宋体" w:eastAsia="宋体" w:cs="宋体"/>
          <w:bCs/>
          <w:color w:val="auto"/>
          <w:szCs w:val="21"/>
          <w:lang w:val="en-US" w:eastAsia="zh-CN"/>
        </w:rPr>
      </w:pPr>
      <w:r>
        <w:rPr>
          <w:rFonts w:hint="eastAsia" w:ascii="宋体" w:hAnsi="宋体" w:cs="宋体"/>
          <w:bCs/>
          <w:color w:val="auto"/>
          <w:szCs w:val="21"/>
        </w:rPr>
        <w:t>（3）服务</w:t>
      </w:r>
      <w:r>
        <w:rPr>
          <w:rFonts w:hint="eastAsia" w:ascii="宋体" w:hAnsi="宋体" w:cs="宋体"/>
          <w:bCs/>
          <w:color w:val="auto"/>
          <w:szCs w:val="21"/>
          <w:lang w:val="en-US" w:eastAsia="zh-Hans"/>
        </w:rPr>
        <w:t>保障承诺</w:t>
      </w:r>
      <w:r>
        <w:rPr>
          <w:rFonts w:hint="eastAsia" w:ascii="宋体" w:hAnsi="宋体" w:cs="宋体"/>
          <w:bCs/>
          <w:color w:val="auto"/>
          <w:szCs w:val="21"/>
        </w:rPr>
        <w:t>（格式自拟）；</w:t>
      </w:r>
    </w:p>
    <w:p w14:paraId="3A99158C">
      <w:pPr>
        <w:spacing w:line="440" w:lineRule="exact"/>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4</w:t>
      </w:r>
      <w:r>
        <w:rPr>
          <w:rFonts w:hint="eastAsia" w:ascii="宋体" w:hAnsi="宋体" w:cs="宋体"/>
          <w:bCs/>
          <w:color w:val="auto"/>
          <w:szCs w:val="21"/>
        </w:rPr>
        <w:t>）服务承诺：是否响应招标文件要求的书面说明和服务承诺书（格式见附件）；</w:t>
      </w:r>
    </w:p>
    <w:p w14:paraId="511E0B84">
      <w:pPr>
        <w:spacing w:line="440" w:lineRule="exact"/>
        <w:jc w:val="left"/>
        <w:rPr>
          <w:rFonts w:ascii="宋体" w:hAnsi="宋体" w:cs="宋体"/>
          <w:b/>
          <w:bCs/>
          <w:color w:val="auto"/>
          <w:kern w:val="0"/>
          <w:szCs w:val="21"/>
          <w:u w:color="000000"/>
        </w:rPr>
      </w:pPr>
      <w:r>
        <w:rPr>
          <w:rFonts w:hint="eastAsia" w:ascii="宋体" w:hAnsi="宋体" w:cs="宋体"/>
          <w:b/>
          <w:bCs/>
          <w:color w:val="auto"/>
          <w:kern w:val="0"/>
          <w:szCs w:val="21"/>
          <w:u w:color="000000"/>
        </w:rPr>
        <w:t>（</w:t>
      </w:r>
      <w:r>
        <w:rPr>
          <w:rFonts w:hint="eastAsia" w:ascii="宋体" w:hAnsi="宋体" w:cs="宋体"/>
          <w:b/>
          <w:bCs/>
          <w:color w:val="auto"/>
          <w:kern w:val="0"/>
          <w:szCs w:val="21"/>
          <w:u w:color="000000"/>
          <w:lang w:val="en-US" w:eastAsia="zh-CN"/>
        </w:rPr>
        <w:t>5</w:t>
      </w:r>
      <w:r>
        <w:rPr>
          <w:rFonts w:hint="eastAsia" w:ascii="宋体" w:hAnsi="宋体" w:cs="宋体"/>
          <w:b/>
          <w:bCs/>
          <w:color w:val="auto"/>
          <w:kern w:val="0"/>
          <w:szCs w:val="21"/>
          <w:u w:color="000000"/>
        </w:rPr>
        <w:t>）技术标中要求提供的其他相关资料和技术标评分细则中需要提供的其他相关资料；</w:t>
      </w:r>
    </w:p>
    <w:p w14:paraId="46305E6F">
      <w:pPr>
        <w:pStyle w:val="21"/>
        <w:spacing w:line="440" w:lineRule="exact"/>
        <w:ind w:firstLine="0" w:firstLineChars="0"/>
        <w:jc w:val="left"/>
        <w:rPr>
          <w:rFonts w:hint="eastAsia" w:hAnsi="宋体" w:cs="宋体"/>
          <w:b/>
          <w:color w:val="auto"/>
          <w:sz w:val="21"/>
          <w:szCs w:val="21"/>
        </w:rPr>
      </w:pPr>
    </w:p>
    <w:p w14:paraId="47670EDF">
      <w:pPr>
        <w:pStyle w:val="21"/>
        <w:spacing w:line="440" w:lineRule="exact"/>
        <w:ind w:firstLine="0" w:firstLineChars="0"/>
        <w:jc w:val="left"/>
        <w:rPr>
          <w:color w:val="auto"/>
        </w:rPr>
      </w:pPr>
      <w:r>
        <w:rPr>
          <w:rFonts w:hint="eastAsia" w:hAnsi="宋体" w:cs="宋体"/>
          <w:b/>
          <w:color w:val="auto"/>
          <w:sz w:val="21"/>
          <w:szCs w:val="21"/>
        </w:rPr>
        <w:t>以上证明材料须按顺序装订，每页均须加盖投标单位公章。投标人所提交的投标文件资料的完整与否，直接影响投标人的投标文件评审。</w:t>
      </w:r>
    </w:p>
    <w:p w14:paraId="3F134BF2">
      <w:pPr>
        <w:jc w:val="center"/>
        <w:rPr>
          <w:rFonts w:ascii="宋体" w:hAnsi="宋体"/>
          <w:b/>
          <w:color w:val="auto"/>
          <w:sz w:val="24"/>
        </w:rPr>
      </w:pPr>
    </w:p>
    <w:p w14:paraId="61422A29">
      <w:pPr>
        <w:rPr>
          <w:rFonts w:ascii="宋体" w:hAnsi="宋体"/>
          <w:b/>
          <w:color w:val="auto"/>
          <w:sz w:val="24"/>
        </w:rPr>
      </w:pPr>
    </w:p>
    <w:p w14:paraId="679A8545">
      <w:pPr>
        <w:rPr>
          <w:rFonts w:ascii="宋体" w:hAnsi="宋体"/>
          <w:b/>
          <w:color w:val="auto"/>
          <w:sz w:val="24"/>
        </w:rPr>
      </w:pPr>
    </w:p>
    <w:p w14:paraId="777FF70A">
      <w:pPr>
        <w:rPr>
          <w:rFonts w:ascii="宋体" w:hAnsi="宋体"/>
          <w:b/>
          <w:color w:val="auto"/>
          <w:sz w:val="24"/>
        </w:rPr>
      </w:pPr>
    </w:p>
    <w:p w14:paraId="4E0A6B69">
      <w:pPr>
        <w:rPr>
          <w:rFonts w:ascii="宋体" w:hAnsi="宋体"/>
          <w:b/>
          <w:color w:val="auto"/>
          <w:sz w:val="24"/>
        </w:rPr>
      </w:pPr>
    </w:p>
    <w:p w14:paraId="37BDB10F">
      <w:pPr>
        <w:rPr>
          <w:rFonts w:ascii="宋体" w:hAnsi="宋体"/>
          <w:b/>
          <w:color w:val="auto"/>
          <w:sz w:val="24"/>
        </w:rPr>
      </w:pPr>
    </w:p>
    <w:p w14:paraId="0A79A50B">
      <w:pPr>
        <w:rPr>
          <w:rFonts w:ascii="宋体" w:hAnsi="宋体"/>
          <w:b/>
          <w:color w:val="auto"/>
          <w:sz w:val="24"/>
        </w:rPr>
      </w:pPr>
    </w:p>
    <w:p w14:paraId="2A61BDF4">
      <w:pPr>
        <w:rPr>
          <w:rFonts w:ascii="宋体" w:hAnsi="宋体"/>
          <w:b/>
          <w:color w:val="auto"/>
          <w:sz w:val="24"/>
        </w:rPr>
      </w:pPr>
    </w:p>
    <w:p w14:paraId="57CBBD0B">
      <w:pPr>
        <w:rPr>
          <w:rFonts w:ascii="宋体" w:hAnsi="宋体"/>
          <w:b/>
          <w:color w:val="auto"/>
          <w:sz w:val="24"/>
        </w:rPr>
      </w:pPr>
    </w:p>
    <w:p w14:paraId="7CA8ECBB">
      <w:pPr>
        <w:pStyle w:val="21"/>
        <w:ind w:firstLine="482"/>
        <w:rPr>
          <w:rFonts w:hAnsi="宋体"/>
          <w:b/>
          <w:color w:val="auto"/>
          <w:sz w:val="24"/>
        </w:rPr>
      </w:pPr>
    </w:p>
    <w:p w14:paraId="1B745AC6">
      <w:pPr>
        <w:rPr>
          <w:rFonts w:ascii="宋体" w:hAnsi="宋体"/>
          <w:b/>
          <w:color w:val="auto"/>
          <w:sz w:val="24"/>
        </w:rPr>
      </w:pPr>
    </w:p>
    <w:p w14:paraId="7B76E40F">
      <w:pPr>
        <w:pStyle w:val="21"/>
        <w:ind w:firstLine="482"/>
        <w:rPr>
          <w:rFonts w:hAnsi="宋体"/>
          <w:b/>
          <w:color w:val="auto"/>
          <w:sz w:val="24"/>
        </w:rPr>
      </w:pPr>
    </w:p>
    <w:p w14:paraId="66FB3F75">
      <w:pPr>
        <w:rPr>
          <w:rFonts w:ascii="宋体" w:hAnsi="宋体"/>
          <w:b/>
          <w:color w:val="auto"/>
          <w:sz w:val="24"/>
        </w:rPr>
      </w:pPr>
    </w:p>
    <w:p w14:paraId="2B9F284D">
      <w:pPr>
        <w:pStyle w:val="21"/>
        <w:ind w:firstLine="482"/>
        <w:rPr>
          <w:rFonts w:hAnsi="宋体"/>
          <w:b/>
          <w:color w:val="auto"/>
          <w:sz w:val="24"/>
        </w:rPr>
      </w:pPr>
    </w:p>
    <w:p w14:paraId="70DB7C8F">
      <w:pPr>
        <w:rPr>
          <w:rFonts w:ascii="宋体" w:hAnsi="宋体"/>
          <w:b/>
          <w:color w:val="auto"/>
          <w:sz w:val="24"/>
        </w:rPr>
      </w:pPr>
    </w:p>
    <w:p w14:paraId="30D15CDE">
      <w:pPr>
        <w:pStyle w:val="21"/>
        <w:ind w:firstLine="482"/>
        <w:rPr>
          <w:rFonts w:hAnsi="宋体"/>
          <w:b/>
          <w:color w:val="auto"/>
          <w:sz w:val="24"/>
        </w:rPr>
      </w:pPr>
    </w:p>
    <w:p w14:paraId="062FEE6C">
      <w:pPr>
        <w:rPr>
          <w:rFonts w:ascii="宋体" w:hAnsi="宋体"/>
          <w:b/>
          <w:color w:val="auto"/>
          <w:sz w:val="24"/>
        </w:rPr>
      </w:pPr>
    </w:p>
    <w:p w14:paraId="6425B841">
      <w:pPr>
        <w:pStyle w:val="21"/>
        <w:ind w:firstLine="482"/>
        <w:rPr>
          <w:rFonts w:hAnsi="宋体"/>
          <w:b/>
          <w:color w:val="auto"/>
          <w:sz w:val="24"/>
        </w:rPr>
      </w:pPr>
    </w:p>
    <w:p w14:paraId="636E0D77">
      <w:pPr>
        <w:rPr>
          <w:rFonts w:ascii="宋体" w:hAnsi="宋体"/>
          <w:b/>
          <w:color w:val="auto"/>
          <w:sz w:val="24"/>
        </w:rPr>
      </w:pPr>
    </w:p>
    <w:p w14:paraId="3AEC0D4D">
      <w:pPr>
        <w:pStyle w:val="21"/>
        <w:ind w:firstLine="482"/>
        <w:rPr>
          <w:rFonts w:hAnsi="宋体"/>
          <w:b/>
          <w:color w:val="auto"/>
          <w:sz w:val="24"/>
        </w:rPr>
      </w:pPr>
    </w:p>
    <w:p w14:paraId="542F3EE5">
      <w:pPr>
        <w:rPr>
          <w:rFonts w:ascii="宋体" w:hAnsi="宋体"/>
          <w:b/>
          <w:color w:val="auto"/>
          <w:sz w:val="24"/>
        </w:rPr>
      </w:pPr>
    </w:p>
    <w:p w14:paraId="6DF3EEF4">
      <w:pPr>
        <w:pStyle w:val="21"/>
        <w:ind w:firstLine="482"/>
        <w:rPr>
          <w:rFonts w:hAnsi="宋体"/>
          <w:b/>
          <w:color w:val="auto"/>
          <w:sz w:val="24"/>
        </w:rPr>
      </w:pPr>
    </w:p>
    <w:p w14:paraId="357CE027">
      <w:pPr>
        <w:rPr>
          <w:rFonts w:ascii="宋体" w:hAnsi="宋体"/>
          <w:b/>
          <w:color w:val="auto"/>
          <w:sz w:val="24"/>
        </w:rPr>
      </w:pPr>
    </w:p>
    <w:p w14:paraId="79BEB133">
      <w:pPr>
        <w:pStyle w:val="21"/>
        <w:ind w:firstLine="482"/>
        <w:rPr>
          <w:rFonts w:hAnsi="宋体"/>
          <w:b/>
          <w:color w:val="auto"/>
          <w:sz w:val="24"/>
        </w:rPr>
      </w:pPr>
    </w:p>
    <w:p w14:paraId="487B0BF7">
      <w:pPr>
        <w:rPr>
          <w:color w:val="auto"/>
        </w:rPr>
      </w:pPr>
    </w:p>
    <w:p w14:paraId="574DB96D">
      <w:pPr>
        <w:pStyle w:val="26"/>
        <w:ind w:firstLine="0" w:firstLineChars="0"/>
        <w:rPr>
          <w:rFonts w:hAnsi="宋体"/>
          <w:b/>
          <w:color w:val="auto"/>
        </w:rPr>
      </w:pPr>
    </w:p>
    <w:p w14:paraId="08CD4BB3">
      <w:pPr>
        <w:pStyle w:val="20"/>
        <w:ind w:firstLine="442"/>
        <w:rPr>
          <w:rFonts w:hint="eastAsia" w:eastAsia="宋体"/>
          <w:color w:val="auto"/>
          <w:lang w:eastAsia="zh-CN"/>
        </w:rPr>
      </w:pPr>
      <w:r>
        <w:rPr>
          <w:rFonts w:hint="eastAsia" w:ascii="黑体" w:hAnsi="黑体" w:eastAsia="黑体" w:cs="黑体"/>
          <w:b/>
          <w:color w:val="auto"/>
          <w:sz w:val="28"/>
          <w:szCs w:val="28"/>
          <w:lang w:val="en-US" w:eastAsia="zh-CN"/>
        </w:rPr>
        <w:t xml:space="preserve"> </w:t>
      </w:r>
    </w:p>
    <w:p w14:paraId="10690584">
      <w:pPr>
        <w:jc w:val="center"/>
        <w:outlineLvl w:val="0"/>
        <w:rPr>
          <w:rFonts w:hint="eastAsia" w:ascii="宋体"/>
          <w:b/>
          <w:color w:val="000000"/>
          <w:sz w:val="30"/>
          <w:szCs w:val="30"/>
          <w:highlight w:val="none"/>
        </w:rPr>
      </w:pPr>
      <w:bookmarkStart w:id="224" w:name="_Toc28906"/>
      <w:bookmarkStart w:id="225" w:name="_Toc25022"/>
      <w:bookmarkStart w:id="226" w:name="_Toc3144"/>
      <w:r>
        <w:rPr>
          <w:rFonts w:hint="eastAsia" w:ascii="宋体"/>
          <w:b/>
          <w:color w:val="000000"/>
          <w:sz w:val="30"/>
          <w:szCs w:val="30"/>
          <w:highlight w:val="none"/>
        </w:rPr>
        <w:t>服务承诺书</w:t>
      </w:r>
      <w:bookmarkEnd w:id="224"/>
      <w:bookmarkEnd w:id="225"/>
      <w:bookmarkEnd w:id="226"/>
    </w:p>
    <w:p w14:paraId="2740643F">
      <w:pPr>
        <w:ind w:firstLine="480" w:firstLineChars="200"/>
        <w:rPr>
          <w:rFonts w:hint="eastAsia" w:ascii="宋体"/>
          <w:b/>
          <w:color w:val="000000"/>
          <w:sz w:val="24"/>
          <w:highlight w:val="none"/>
        </w:rPr>
      </w:pPr>
      <w:r>
        <w:rPr>
          <w:rFonts w:hint="eastAsia" w:ascii="宋体"/>
          <w:color w:val="000000"/>
          <w:sz w:val="24"/>
          <w:highlight w:val="none"/>
        </w:rPr>
        <w:t>致：</w:t>
      </w:r>
      <w:r>
        <w:rPr>
          <w:rFonts w:hint="eastAsia" w:ascii="宋体"/>
          <w:color w:val="000000"/>
          <w:sz w:val="24"/>
          <w:highlight w:val="none"/>
          <w:u w:val="single"/>
        </w:rPr>
        <w:t xml:space="preserve">          （采购人）     ：</w:t>
      </w:r>
    </w:p>
    <w:p w14:paraId="6982773E">
      <w:pPr>
        <w:spacing w:line="800" w:lineRule="exact"/>
        <w:ind w:firstLine="480" w:firstLineChars="200"/>
        <w:rPr>
          <w:rFonts w:hint="eastAsia" w:ascii="宋体"/>
          <w:color w:val="000000"/>
          <w:sz w:val="24"/>
          <w:highlight w:val="none"/>
        </w:rPr>
      </w:pPr>
      <w:r>
        <w:rPr>
          <w:rFonts w:hint="eastAsia" w:ascii="宋体"/>
          <w:color w:val="000000"/>
          <w:sz w:val="24"/>
          <w:highlight w:val="none"/>
        </w:rPr>
        <w:t>本承诺声明：</w:t>
      </w:r>
      <w:r>
        <w:rPr>
          <w:rFonts w:hint="eastAsia" w:ascii="宋体"/>
          <w:color w:val="000000"/>
          <w:sz w:val="24"/>
          <w:highlight w:val="none"/>
          <w:u w:val="single"/>
        </w:rPr>
        <w:t xml:space="preserve">                   </w:t>
      </w:r>
      <w:r>
        <w:rPr>
          <w:rFonts w:hint="eastAsia" w:ascii="宋体"/>
          <w:color w:val="000000"/>
          <w:sz w:val="24"/>
          <w:highlight w:val="none"/>
        </w:rPr>
        <w:t>（投标人名称）对本招标文件的相关要求完全响应。若有幸中标将严格按照以上承诺进行服务。</w:t>
      </w:r>
    </w:p>
    <w:p w14:paraId="53FA4419">
      <w:pPr>
        <w:spacing w:line="480" w:lineRule="auto"/>
        <w:rPr>
          <w:rFonts w:hint="eastAsia" w:ascii="宋体"/>
          <w:color w:val="000000"/>
          <w:sz w:val="24"/>
          <w:highlight w:val="none"/>
        </w:rPr>
      </w:pPr>
    </w:p>
    <w:p w14:paraId="4EFF8703">
      <w:pPr>
        <w:spacing w:line="440" w:lineRule="exact"/>
        <w:rPr>
          <w:rFonts w:hint="eastAsia" w:ascii="宋体"/>
          <w:color w:val="000000"/>
          <w:sz w:val="24"/>
          <w:highlight w:val="none"/>
        </w:rPr>
      </w:pPr>
      <w:r>
        <w:rPr>
          <w:rFonts w:hint="eastAsia" w:ascii="宋体"/>
          <w:color w:val="000000"/>
          <w:sz w:val="24"/>
          <w:highlight w:val="none"/>
        </w:rPr>
        <w:t>特此声明</w:t>
      </w:r>
    </w:p>
    <w:p w14:paraId="0EE0BD38">
      <w:pPr>
        <w:spacing w:line="600" w:lineRule="exact"/>
        <w:rPr>
          <w:rFonts w:hint="eastAsia" w:ascii="宋体"/>
          <w:color w:val="000000"/>
          <w:sz w:val="24"/>
          <w:highlight w:val="none"/>
        </w:rPr>
      </w:pPr>
      <w:r>
        <w:rPr>
          <w:rFonts w:hint="eastAsia" w:ascii="宋体"/>
          <w:color w:val="000000"/>
          <w:sz w:val="24"/>
          <w:highlight w:val="none"/>
        </w:rPr>
        <w:t> </w:t>
      </w:r>
    </w:p>
    <w:p w14:paraId="5C73D01C">
      <w:pPr>
        <w:spacing w:line="600" w:lineRule="exact"/>
        <w:rPr>
          <w:rFonts w:hint="eastAsia" w:ascii="宋体" w:hAnsi="宋体" w:cs="宋体"/>
          <w:color w:val="000000"/>
          <w:sz w:val="24"/>
          <w:highlight w:val="none"/>
        </w:rPr>
      </w:pPr>
      <w:r>
        <w:rPr>
          <w:rFonts w:hint="eastAsia" w:ascii="宋体"/>
          <w:color w:val="000000"/>
          <w:sz w:val="24"/>
          <w:highlight w:val="none"/>
        </w:rPr>
        <w:t xml:space="preserve">        </w:t>
      </w:r>
      <w:r>
        <w:rPr>
          <w:rFonts w:hint="eastAsia" w:ascii="宋体" w:hAnsi="宋体" w:cs="宋体"/>
          <w:color w:val="000000"/>
          <w:sz w:val="24"/>
          <w:highlight w:val="none"/>
        </w:rPr>
        <w:t xml:space="preserve">         法定代表人或代理人（被授权人）：</w:t>
      </w:r>
      <w:r>
        <w:rPr>
          <w:rFonts w:hint="eastAsia" w:ascii="宋体" w:hAnsi="宋体" w:cs="宋体"/>
          <w:color w:val="000000"/>
          <w:sz w:val="24"/>
          <w:highlight w:val="none"/>
          <w:u w:val="single"/>
        </w:rPr>
        <w:t xml:space="preserve">      （签字或盖章）          </w:t>
      </w:r>
    </w:p>
    <w:p w14:paraId="54CCF228">
      <w:pPr>
        <w:spacing w:line="600" w:lineRule="exact"/>
        <w:rPr>
          <w:rFonts w:hint="eastAsia" w:ascii="宋体" w:hAnsi="宋体" w:cs="宋体"/>
          <w:color w:val="000000"/>
          <w:sz w:val="24"/>
          <w:highlight w:val="none"/>
        </w:rPr>
      </w:pPr>
      <w:r>
        <w:rPr>
          <w:rFonts w:hint="eastAsia" w:ascii="宋体" w:hAnsi="宋体" w:cs="宋体"/>
          <w:color w:val="000000"/>
          <w:sz w:val="24"/>
          <w:highlight w:val="none"/>
        </w:rPr>
        <w:t xml:space="preserve">                                    投标人名称：</w:t>
      </w:r>
      <w:r>
        <w:rPr>
          <w:rFonts w:hint="eastAsia" w:ascii="宋体" w:hAnsi="宋体" w:cs="宋体"/>
          <w:color w:val="000000"/>
          <w:sz w:val="24"/>
          <w:highlight w:val="none"/>
          <w:u w:val="single"/>
        </w:rPr>
        <w:t xml:space="preserve">        （公章）          </w:t>
      </w:r>
    </w:p>
    <w:p w14:paraId="4D8B0E87">
      <w:pPr>
        <w:spacing w:line="600" w:lineRule="exact"/>
        <w:ind w:firstLine="4680" w:firstLineChars="1950"/>
        <w:rPr>
          <w:rFonts w:hint="eastAsia" w:ascii="宋体" w:hAnsi="宋体" w:cs="宋体"/>
          <w:color w:val="000000"/>
          <w:sz w:val="24"/>
          <w:highlight w:val="none"/>
          <w:u w:val="single"/>
        </w:rPr>
      </w:pPr>
      <w:r>
        <w:rPr>
          <w:rFonts w:hint="eastAsia" w:ascii="宋体" w:hAnsi="宋体" w:cs="宋体"/>
          <w:color w:val="000000"/>
          <w:sz w:val="24"/>
          <w:highlight w:val="none"/>
        </w:rPr>
        <w:t>日    期：</w:t>
      </w:r>
    </w:p>
    <w:p w14:paraId="074C8C6E">
      <w:pPr>
        <w:pStyle w:val="20"/>
        <w:ind w:firstLine="442"/>
        <w:jc w:val="both"/>
        <w:rPr>
          <w:color w:val="auto"/>
        </w:rPr>
        <w:sectPr>
          <w:footerReference r:id="rId8" w:type="default"/>
          <w:pgSz w:w="11906" w:h="16838"/>
          <w:pgMar w:top="1134" w:right="1417" w:bottom="1134" w:left="1417" w:header="283" w:footer="567" w:gutter="0"/>
          <w:cols w:space="720" w:num="1"/>
          <w:docGrid w:type="lines" w:linePitch="324" w:charSpace="0"/>
        </w:sectPr>
      </w:pPr>
    </w:p>
    <w:p w14:paraId="39214701">
      <w:pPr>
        <w:pStyle w:val="21"/>
        <w:ind w:firstLine="0" w:firstLineChars="0"/>
        <w:rPr>
          <w:color w:val="auto"/>
        </w:rPr>
      </w:pPr>
    </w:p>
    <w:p w14:paraId="51055E36">
      <w:pPr>
        <w:pStyle w:val="21"/>
        <w:ind w:firstLine="560"/>
        <w:rPr>
          <w:color w:val="auto"/>
        </w:rPr>
      </w:pPr>
    </w:p>
    <w:p w14:paraId="03DAB54B">
      <w:pPr>
        <w:pStyle w:val="21"/>
        <w:ind w:firstLine="5320" w:firstLineChars="1900"/>
        <w:rPr>
          <w:color w:val="auto"/>
        </w:rPr>
      </w:pPr>
      <w:r>
        <w:rPr>
          <w:rFonts w:hint="eastAsia"/>
          <w:color w:val="auto"/>
        </w:rPr>
        <w:t xml:space="preserve">            </w:t>
      </w:r>
      <w:r>
        <w:rPr>
          <w:rFonts w:hint="eastAsia"/>
          <w:b/>
          <w:bCs/>
          <w:color w:val="auto"/>
          <w:sz w:val="32"/>
          <w:szCs w:val="21"/>
        </w:rPr>
        <w:t>正本/副本</w:t>
      </w:r>
    </w:p>
    <w:p w14:paraId="39576A99">
      <w:pPr>
        <w:rPr>
          <w:color w:val="auto"/>
        </w:rPr>
      </w:pPr>
    </w:p>
    <w:p w14:paraId="033D16BF">
      <w:pPr>
        <w:rPr>
          <w:rFonts w:ascii="宋体"/>
          <w:color w:val="auto"/>
          <w:sz w:val="20"/>
        </w:rPr>
      </w:pPr>
    </w:p>
    <w:p w14:paraId="12327BB5">
      <w:pPr>
        <w:jc w:val="center"/>
        <w:outlineLvl w:val="1"/>
        <w:rPr>
          <w:rFonts w:ascii="宋体"/>
          <w:b/>
          <w:color w:val="auto"/>
          <w:sz w:val="44"/>
          <w:szCs w:val="44"/>
        </w:rPr>
      </w:pPr>
      <w:bookmarkStart w:id="227" w:name="_Toc469495746"/>
      <w:r>
        <w:rPr>
          <w:rFonts w:hint="eastAsia" w:ascii="宋体"/>
          <w:b/>
          <w:color w:val="auto"/>
          <w:sz w:val="44"/>
          <w:szCs w:val="44"/>
        </w:rPr>
        <w:t>商务标</w:t>
      </w:r>
      <w:bookmarkEnd w:id="227"/>
    </w:p>
    <w:p w14:paraId="7E894844">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三</w:t>
      </w:r>
      <w:r>
        <w:rPr>
          <w:rFonts w:hint="eastAsia" w:ascii="宋体"/>
          <w:color w:val="auto"/>
          <w:sz w:val="36"/>
          <w:szCs w:val="36"/>
        </w:rPr>
        <w:t>）</w:t>
      </w:r>
    </w:p>
    <w:p w14:paraId="3862EFE4">
      <w:pPr>
        <w:jc w:val="center"/>
        <w:rPr>
          <w:rFonts w:ascii="宋体"/>
          <w:color w:val="auto"/>
          <w:sz w:val="36"/>
          <w:szCs w:val="36"/>
        </w:rPr>
      </w:pPr>
    </w:p>
    <w:p w14:paraId="0CFCA09D">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r>
        <w:rPr>
          <w:rFonts w:hint="eastAsia" w:ascii="宋体" w:hAnsi="宋体"/>
          <w:color w:val="auto"/>
          <w:sz w:val="32"/>
          <w:szCs w:val="32"/>
        </w:rPr>
        <w:t xml:space="preserve"> </w:t>
      </w:r>
    </w:p>
    <w:p w14:paraId="01A1F84E">
      <w:pPr>
        <w:rPr>
          <w:rFonts w:ascii="宋体"/>
          <w:color w:val="auto"/>
          <w:sz w:val="28"/>
          <w:szCs w:val="28"/>
        </w:rPr>
      </w:pPr>
    </w:p>
    <w:p w14:paraId="43490988">
      <w:pPr>
        <w:rPr>
          <w:rFonts w:ascii="宋体"/>
          <w:color w:val="auto"/>
          <w:sz w:val="28"/>
          <w:szCs w:val="28"/>
        </w:rPr>
      </w:pPr>
    </w:p>
    <w:p w14:paraId="191F36DB">
      <w:pPr>
        <w:rPr>
          <w:rFonts w:ascii="宋体"/>
          <w:color w:val="auto"/>
          <w:sz w:val="28"/>
          <w:szCs w:val="28"/>
        </w:rPr>
      </w:pPr>
    </w:p>
    <w:p w14:paraId="46F64592">
      <w:pPr>
        <w:rPr>
          <w:rFonts w:ascii="宋体"/>
          <w:color w:val="auto"/>
          <w:sz w:val="28"/>
          <w:szCs w:val="28"/>
        </w:rPr>
      </w:pPr>
    </w:p>
    <w:p w14:paraId="1AEEA91E">
      <w:pPr>
        <w:rPr>
          <w:rFonts w:ascii="宋体"/>
          <w:color w:val="auto"/>
          <w:sz w:val="28"/>
          <w:szCs w:val="28"/>
        </w:rPr>
      </w:pPr>
    </w:p>
    <w:p w14:paraId="663C0AAC">
      <w:pPr>
        <w:rPr>
          <w:rFonts w:ascii="宋体"/>
          <w:color w:val="auto"/>
          <w:sz w:val="28"/>
          <w:szCs w:val="28"/>
        </w:rPr>
      </w:pPr>
    </w:p>
    <w:p w14:paraId="6AFD5729">
      <w:pPr>
        <w:rPr>
          <w:rFonts w:ascii="宋体"/>
          <w:color w:val="auto"/>
          <w:sz w:val="28"/>
          <w:szCs w:val="28"/>
        </w:rPr>
      </w:pPr>
    </w:p>
    <w:p w14:paraId="547EF505">
      <w:pPr>
        <w:jc w:val="center"/>
        <w:rPr>
          <w:rFonts w:ascii="宋体"/>
          <w:color w:val="auto"/>
          <w:sz w:val="28"/>
          <w:szCs w:val="28"/>
          <w:u w:val="single"/>
        </w:rPr>
      </w:pPr>
      <w:r>
        <w:rPr>
          <w:rFonts w:hint="eastAsia" w:ascii="宋体"/>
          <w:color w:val="auto"/>
          <w:sz w:val="28"/>
          <w:szCs w:val="28"/>
        </w:rPr>
        <w:t>供应商：</w:t>
      </w:r>
      <w:r>
        <w:rPr>
          <w:rFonts w:hint="eastAsia" w:ascii="宋体"/>
          <w:color w:val="auto"/>
          <w:sz w:val="28"/>
          <w:szCs w:val="28"/>
          <w:u w:val="single"/>
        </w:rPr>
        <w:t xml:space="preserve">                                  </w:t>
      </w:r>
      <w:r>
        <w:rPr>
          <w:rFonts w:hint="eastAsia" w:ascii="宋体"/>
          <w:color w:val="auto"/>
          <w:sz w:val="28"/>
          <w:szCs w:val="28"/>
        </w:rPr>
        <w:t>（盖章）</w:t>
      </w:r>
    </w:p>
    <w:p w14:paraId="284A25F5">
      <w:pPr>
        <w:jc w:val="left"/>
        <w:rPr>
          <w:rFonts w:ascii="宋体"/>
          <w:color w:val="auto"/>
          <w:sz w:val="28"/>
          <w:szCs w:val="28"/>
        </w:rPr>
      </w:pPr>
      <w:r>
        <w:rPr>
          <w:rFonts w:hint="eastAsia" w:ascii="宋体"/>
          <w:color w:val="auto"/>
          <w:sz w:val="28"/>
          <w:szCs w:val="28"/>
        </w:rPr>
        <w:t xml:space="preserve">          法定代表人 ：</w:t>
      </w:r>
      <w:r>
        <w:rPr>
          <w:rFonts w:hint="eastAsia" w:ascii="宋体"/>
          <w:color w:val="auto"/>
          <w:sz w:val="28"/>
          <w:szCs w:val="28"/>
          <w:u w:val="single"/>
        </w:rPr>
        <w:t xml:space="preserve">                         </w:t>
      </w:r>
      <w:r>
        <w:rPr>
          <w:rFonts w:hint="eastAsia" w:ascii="宋体"/>
          <w:color w:val="auto"/>
          <w:sz w:val="28"/>
          <w:szCs w:val="28"/>
        </w:rPr>
        <w:t>（签字或盖章）</w:t>
      </w:r>
    </w:p>
    <w:p w14:paraId="5ABB8DFE">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0434FE1A">
      <w:pPr>
        <w:pStyle w:val="21"/>
        <w:ind w:firstLine="562"/>
        <w:rPr>
          <w:rFonts w:hAnsi="宋体" w:cs="宋体"/>
          <w:b/>
          <w:bCs/>
          <w:color w:val="auto"/>
          <w:szCs w:val="28"/>
        </w:rPr>
      </w:pPr>
    </w:p>
    <w:p w14:paraId="7551EA44">
      <w:pPr>
        <w:rPr>
          <w:rFonts w:hAnsi="宋体" w:cs="宋体"/>
          <w:b/>
          <w:bCs/>
          <w:color w:val="auto"/>
          <w:szCs w:val="28"/>
        </w:rPr>
      </w:pPr>
    </w:p>
    <w:p w14:paraId="597B2A70">
      <w:pPr>
        <w:pStyle w:val="26"/>
        <w:ind w:firstLine="0" w:firstLineChars="0"/>
        <w:rPr>
          <w:rFonts w:ascii="宋体"/>
          <w:b/>
          <w:bCs/>
          <w:color w:val="auto"/>
          <w:sz w:val="32"/>
          <w:szCs w:val="32"/>
        </w:rPr>
      </w:pPr>
    </w:p>
    <w:p w14:paraId="7C28F801">
      <w:pPr>
        <w:pStyle w:val="26"/>
        <w:ind w:firstLine="0" w:firstLineChars="0"/>
        <w:rPr>
          <w:rFonts w:ascii="宋体"/>
          <w:b/>
          <w:bCs/>
          <w:color w:val="auto"/>
          <w:sz w:val="32"/>
          <w:szCs w:val="32"/>
        </w:rPr>
      </w:pPr>
    </w:p>
    <w:p w14:paraId="48431124">
      <w:pPr>
        <w:pStyle w:val="26"/>
        <w:ind w:firstLine="0" w:firstLineChars="0"/>
        <w:rPr>
          <w:rFonts w:ascii="宋体"/>
          <w:b/>
          <w:bCs/>
          <w:color w:val="auto"/>
          <w:sz w:val="32"/>
          <w:szCs w:val="32"/>
        </w:rPr>
      </w:pPr>
    </w:p>
    <w:p w14:paraId="7A9E95A6">
      <w:pPr>
        <w:pStyle w:val="26"/>
        <w:ind w:firstLine="0" w:firstLineChars="0"/>
        <w:rPr>
          <w:rFonts w:ascii="宋体"/>
          <w:b/>
          <w:bCs/>
          <w:color w:val="auto"/>
          <w:sz w:val="32"/>
          <w:szCs w:val="32"/>
        </w:rPr>
      </w:pPr>
    </w:p>
    <w:p w14:paraId="287F66CD">
      <w:pPr>
        <w:pStyle w:val="26"/>
        <w:ind w:firstLine="0" w:firstLineChars="0"/>
        <w:rPr>
          <w:rFonts w:ascii="宋体"/>
          <w:b/>
          <w:bCs/>
          <w:color w:val="auto"/>
          <w:sz w:val="32"/>
          <w:szCs w:val="32"/>
        </w:rPr>
      </w:pPr>
    </w:p>
    <w:p w14:paraId="2ED2BB78">
      <w:pPr>
        <w:spacing w:line="440" w:lineRule="exact"/>
        <w:ind w:firstLine="420" w:firstLineChars="200"/>
        <w:rPr>
          <w:rFonts w:ascii="宋体" w:hAnsi="宋体" w:cs="宋体"/>
          <w:bCs/>
          <w:color w:val="auto"/>
          <w:szCs w:val="21"/>
        </w:rPr>
      </w:pPr>
    </w:p>
    <w:p w14:paraId="16C4A741">
      <w:pPr>
        <w:spacing w:line="400" w:lineRule="exact"/>
        <w:jc w:val="center"/>
        <w:rPr>
          <w:rFonts w:hint="eastAsia"/>
          <w:b/>
          <w:color w:val="000000"/>
          <w:sz w:val="36"/>
          <w:szCs w:val="36"/>
          <w:highlight w:val="none"/>
        </w:rPr>
      </w:pPr>
      <w:r>
        <w:rPr>
          <w:rFonts w:hint="eastAsia"/>
          <w:b/>
          <w:color w:val="000000"/>
          <w:sz w:val="36"/>
          <w:szCs w:val="36"/>
          <w:highlight w:val="none"/>
        </w:rPr>
        <w:t>目   录</w:t>
      </w:r>
    </w:p>
    <w:p w14:paraId="1CBB0F23">
      <w:pPr>
        <w:spacing w:line="400" w:lineRule="exact"/>
        <w:ind w:firstLine="4130" w:firstLineChars="935"/>
        <w:rPr>
          <w:rFonts w:hint="eastAsia"/>
          <w:b/>
          <w:color w:val="000000"/>
          <w:sz w:val="44"/>
          <w:szCs w:val="44"/>
          <w:highlight w:val="none"/>
        </w:rPr>
      </w:pPr>
    </w:p>
    <w:p w14:paraId="21CD07A4">
      <w:pPr>
        <w:spacing w:line="440" w:lineRule="exact"/>
        <w:ind w:left="420"/>
        <w:rPr>
          <w:rFonts w:hint="eastAsia" w:ascii="宋体"/>
          <w:color w:val="000000"/>
          <w:szCs w:val="21"/>
          <w:highlight w:val="none"/>
        </w:rPr>
      </w:pPr>
      <w:r>
        <w:rPr>
          <w:rFonts w:hint="eastAsia" w:ascii="宋体"/>
          <w:color w:val="000000"/>
          <w:szCs w:val="21"/>
          <w:highlight w:val="none"/>
        </w:rPr>
        <w:t>（1）开标一览表；（格式见附件）</w:t>
      </w:r>
    </w:p>
    <w:p w14:paraId="5E685272">
      <w:pPr>
        <w:spacing w:line="440" w:lineRule="exact"/>
        <w:ind w:left="420"/>
        <w:rPr>
          <w:rFonts w:hint="eastAsia" w:ascii="宋体"/>
          <w:color w:val="000000"/>
          <w:szCs w:val="21"/>
          <w:highlight w:val="none"/>
        </w:rPr>
      </w:pPr>
      <w:r>
        <w:rPr>
          <w:rFonts w:hint="eastAsia" w:ascii="宋体"/>
          <w:color w:val="000000"/>
          <w:szCs w:val="21"/>
          <w:highlight w:val="none"/>
        </w:rPr>
        <w:t>（2）投标函；（格式见附件）</w:t>
      </w:r>
    </w:p>
    <w:p w14:paraId="4862EA88">
      <w:pPr>
        <w:tabs>
          <w:tab w:val="left" w:pos="14"/>
        </w:tabs>
        <w:spacing w:line="440" w:lineRule="exact"/>
        <w:ind w:firstLine="420" w:firstLineChars="200"/>
        <w:rPr>
          <w:rFonts w:hint="eastAsia" w:ascii="宋体"/>
          <w:b/>
          <w:color w:val="000000"/>
          <w:szCs w:val="21"/>
          <w:highlight w:val="none"/>
        </w:rPr>
      </w:pPr>
      <w:r>
        <w:rPr>
          <w:rFonts w:hint="eastAsia" w:ascii="宋体"/>
          <w:color w:val="000000"/>
          <w:szCs w:val="21"/>
          <w:highlight w:val="none"/>
        </w:rPr>
        <w:t>（3）招标文件商务评审中要求提供的其他相关资料；</w:t>
      </w:r>
    </w:p>
    <w:p w14:paraId="0142EBBF">
      <w:pPr>
        <w:spacing w:line="400" w:lineRule="exact"/>
        <w:ind w:firstLine="424" w:firstLineChars="202"/>
        <w:rPr>
          <w:rFonts w:hint="eastAsia" w:ascii="宋体"/>
          <w:color w:val="000000"/>
          <w:szCs w:val="21"/>
          <w:highlight w:val="none"/>
        </w:rPr>
      </w:pPr>
      <w:r>
        <w:rPr>
          <w:rFonts w:hint="eastAsia" w:ascii="宋体"/>
          <w:color w:val="000000"/>
          <w:szCs w:val="21"/>
          <w:highlight w:val="none"/>
        </w:rPr>
        <w:t>（4）投标人认为需要提供的其他材料（如有）。</w:t>
      </w:r>
    </w:p>
    <w:p w14:paraId="37A49B82">
      <w:pPr>
        <w:pStyle w:val="21"/>
        <w:spacing w:line="440" w:lineRule="exact"/>
        <w:ind w:firstLine="0" w:firstLineChars="0"/>
        <w:jc w:val="left"/>
        <w:rPr>
          <w:rFonts w:hint="eastAsia" w:hAnsi="宋体" w:cs="宋体"/>
          <w:b/>
          <w:color w:val="auto"/>
          <w:sz w:val="21"/>
          <w:szCs w:val="21"/>
        </w:rPr>
      </w:pPr>
    </w:p>
    <w:p w14:paraId="498B6959">
      <w:pPr>
        <w:pStyle w:val="21"/>
        <w:spacing w:line="440" w:lineRule="exact"/>
        <w:ind w:firstLine="0" w:firstLineChars="0"/>
        <w:jc w:val="left"/>
        <w:rPr>
          <w:color w:val="auto"/>
        </w:rPr>
      </w:pPr>
      <w:r>
        <w:rPr>
          <w:rFonts w:hint="eastAsia" w:hAnsi="宋体" w:cs="宋体"/>
          <w:b/>
          <w:color w:val="auto"/>
          <w:sz w:val="21"/>
          <w:szCs w:val="21"/>
        </w:rPr>
        <w:t>以上证明材料须按顺序装订，每页均须加盖投标单位公章。投标人所提交的投标文件资料的完整与否，直接影响投标人的投标文件评审。</w:t>
      </w:r>
    </w:p>
    <w:p w14:paraId="38EB4B6A">
      <w:pPr>
        <w:rPr>
          <w:color w:val="auto"/>
        </w:rPr>
      </w:pPr>
    </w:p>
    <w:p w14:paraId="659513F8">
      <w:pPr>
        <w:rPr>
          <w:color w:val="auto"/>
        </w:rPr>
      </w:pPr>
    </w:p>
    <w:p w14:paraId="1EF9B646">
      <w:pPr>
        <w:pStyle w:val="21"/>
        <w:ind w:firstLine="560"/>
        <w:rPr>
          <w:color w:val="auto"/>
        </w:rPr>
      </w:pPr>
    </w:p>
    <w:p w14:paraId="2D61244E">
      <w:pPr>
        <w:rPr>
          <w:color w:val="auto"/>
        </w:rPr>
      </w:pPr>
    </w:p>
    <w:p w14:paraId="1CC0A684">
      <w:pPr>
        <w:pStyle w:val="21"/>
        <w:ind w:firstLine="560"/>
        <w:rPr>
          <w:color w:val="auto"/>
        </w:rPr>
      </w:pPr>
    </w:p>
    <w:p w14:paraId="32AF71EB">
      <w:pPr>
        <w:rPr>
          <w:color w:val="auto"/>
        </w:rPr>
      </w:pPr>
    </w:p>
    <w:p w14:paraId="66451966">
      <w:pPr>
        <w:pStyle w:val="21"/>
        <w:ind w:firstLine="560"/>
        <w:rPr>
          <w:color w:val="auto"/>
        </w:rPr>
      </w:pPr>
    </w:p>
    <w:p w14:paraId="1E8775E5">
      <w:pPr>
        <w:rPr>
          <w:color w:val="auto"/>
        </w:rPr>
      </w:pPr>
    </w:p>
    <w:p w14:paraId="563BE0A7">
      <w:pPr>
        <w:rPr>
          <w:color w:val="auto"/>
        </w:rPr>
      </w:pPr>
    </w:p>
    <w:p w14:paraId="5359DE6F">
      <w:pPr>
        <w:pStyle w:val="26"/>
        <w:ind w:firstLine="480"/>
        <w:rPr>
          <w:color w:val="auto"/>
        </w:rPr>
      </w:pPr>
    </w:p>
    <w:p w14:paraId="738E6C37">
      <w:pPr>
        <w:pStyle w:val="26"/>
        <w:ind w:firstLine="480"/>
        <w:rPr>
          <w:color w:val="auto"/>
        </w:rPr>
      </w:pPr>
    </w:p>
    <w:p w14:paraId="6443445B">
      <w:pPr>
        <w:pStyle w:val="26"/>
        <w:ind w:firstLine="480"/>
        <w:rPr>
          <w:color w:val="auto"/>
        </w:rPr>
      </w:pPr>
    </w:p>
    <w:p w14:paraId="2FD8E44A">
      <w:pPr>
        <w:pStyle w:val="26"/>
        <w:ind w:firstLine="480"/>
        <w:rPr>
          <w:color w:val="auto"/>
        </w:rPr>
      </w:pPr>
    </w:p>
    <w:p w14:paraId="1EF3032E">
      <w:pPr>
        <w:pStyle w:val="26"/>
        <w:ind w:firstLine="480"/>
        <w:rPr>
          <w:color w:val="auto"/>
        </w:rPr>
      </w:pPr>
    </w:p>
    <w:p w14:paraId="28400761">
      <w:pPr>
        <w:pStyle w:val="26"/>
        <w:ind w:firstLine="480"/>
        <w:rPr>
          <w:color w:val="auto"/>
        </w:rPr>
      </w:pPr>
    </w:p>
    <w:p w14:paraId="36032314">
      <w:pPr>
        <w:pStyle w:val="26"/>
        <w:ind w:firstLine="480"/>
        <w:rPr>
          <w:color w:val="auto"/>
        </w:rPr>
      </w:pPr>
    </w:p>
    <w:p w14:paraId="3B4D42FC">
      <w:pPr>
        <w:pStyle w:val="26"/>
        <w:ind w:firstLine="480"/>
        <w:rPr>
          <w:color w:val="auto"/>
        </w:rPr>
      </w:pPr>
    </w:p>
    <w:p w14:paraId="09E6BC80">
      <w:pPr>
        <w:pStyle w:val="26"/>
        <w:ind w:firstLine="480"/>
        <w:rPr>
          <w:color w:val="auto"/>
        </w:rPr>
      </w:pPr>
    </w:p>
    <w:p w14:paraId="476E70D0">
      <w:pPr>
        <w:pStyle w:val="26"/>
        <w:ind w:firstLine="480"/>
        <w:rPr>
          <w:color w:val="auto"/>
        </w:rPr>
      </w:pPr>
    </w:p>
    <w:p w14:paraId="211C0B4A">
      <w:pPr>
        <w:pStyle w:val="26"/>
        <w:ind w:firstLine="480"/>
        <w:rPr>
          <w:color w:val="auto"/>
        </w:rPr>
      </w:pPr>
    </w:p>
    <w:p w14:paraId="52E8F1C9">
      <w:pPr>
        <w:pStyle w:val="26"/>
        <w:ind w:firstLine="480"/>
        <w:rPr>
          <w:color w:val="auto"/>
        </w:rPr>
      </w:pPr>
    </w:p>
    <w:p w14:paraId="5E76DE8F">
      <w:pPr>
        <w:pStyle w:val="26"/>
        <w:ind w:firstLine="480"/>
        <w:rPr>
          <w:color w:val="auto"/>
        </w:rPr>
      </w:pPr>
    </w:p>
    <w:p w14:paraId="46B873AA">
      <w:pPr>
        <w:pStyle w:val="26"/>
        <w:ind w:firstLine="480"/>
        <w:rPr>
          <w:color w:val="auto"/>
        </w:rPr>
      </w:pPr>
    </w:p>
    <w:p w14:paraId="4B401A83">
      <w:pPr>
        <w:pStyle w:val="17"/>
        <w:ind w:left="0" w:firstLine="0" w:firstLineChars="0"/>
        <w:rPr>
          <w:color w:val="auto"/>
        </w:rPr>
      </w:pPr>
    </w:p>
    <w:p w14:paraId="5F1B3373">
      <w:pPr>
        <w:pStyle w:val="17"/>
        <w:ind w:left="420" w:hanging="420"/>
        <w:rPr>
          <w:color w:val="auto"/>
        </w:rPr>
      </w:pPr>
    </w:p>
    <w:p w14:paraId="476DDDDE">
      <w:pPr>
        <w:pStyle w:val="17"/>
        <w:ind w:left="420" w:hanging="420"/>
        <w:rPr>
          <w:color w:val="auto"/>
        </w:rPr>
      </w:pPr>
    </w:p>
    <w:p w14:paraId="19CB2F42">
      <w:pPr>
        <w:pStyle w:val="17"/>
        <w:ind w:left="420" w:hanging="420"/>
        <w:rPr>
          <w:color w:val="auto"/>
        </w:rPr>
      </w:pPr>
    </w:p>
    <w:p w14:paraId="4951A88E">
      <w:pPr>
        <w:widowControl/>
        <w:spacing w:line="360" w:lineRule="exact"/>
        <w:jc w:val="center"/>
        <w:textAlignment w:val="baseline"/>
        <w:rPr>
          <w:rFonts w:ascii="宋体"/>
          <w:b/>
          <w:color w:val="auto"/>
          <w:kern w:val="0"/>
          <w:sz w:val="32"/>
          <w:szCs w:val="32"/>
          <w:u w:color="000000"/>
        </w:rPr>
      </w:pPr>
      <w:r>
        <w:rPr>
          <w:rFonts w:hint="eastAsia" w:ascii="宋体"/>
          <w:b/>
          <w:color w:val="auto"/>
          <w:kern w:val="0"/>
          <w:sz w:val="32"/>
          <w:szCs w:val="32"/>
          <w:u w:color="000000"/>
          <w:lang w:val="en-US" w:eastAsia="zh-CN"/>
        </w:rPr>
        <w:t xml:space="preserve"> </w:t>
      </w:r>
      <w:r>
        <w:rPr>
          <w:rFonts w:hint="eastAsia" w:ascii="宋体"/>
          <w:b/>
          <w:color w:val="auto"/>
          <w:kern w:val="0"/>
          <w:sz w:val="32"/>
          <w:szCs w:val="32"/>
          <w:u w:color="000000"/>
        </w:rPr>
        <w:t>开标一览表</w:t>
      </w:r>
    </w:p>
    <w:p w14:paraId="38CC3C74">
      <w:pPr>
        <w:snapToGrid w:val="0"/>
        <w:spacing w:line="460" w:lineRule="exact"/>
        <w:textAlignment w:val="baseline"/>
        <w:rPr>
          <w:rFonts w:ascii="宋体"/>
          <w:color w:val="auto"/>
          <w:kern w:val="0"/>
          <w:sz w:val="24"/>
          <w:u w:color="000000"/>
        </w:rPr>
      </w:pPr>
    </w:p>
    <w:tbl>
      <w:tblPr>
        <w:tblStyle w:val="22"/>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D230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3" w:hRule="exact"/>
        </w:trPr>
        <w:tc>
          <w:tcPr>
            <w:tcW w:w="1812" w:type="dxa"/>
            <w:tcBorders>
              <w:top w:val="single" w:color="auto" w:sz="12" w:space="0"/>
              <w:bottom w:val="single" w:color="auto" w:sz="12" w:space="0"/>
              <w:right w:val="single" w:color="auto" w:sz="12" w:space="0"/>
            </w:tcBorders>
            <w:vAlign w:val="center"/>
          </w:tcPr>
          <w:p w14:paraId="5081E419">
            <w:pPr>
              <w:widowControl/>
              <w:spacing w:line="460" w:lineRule="exact"/>
              <w:jc w:val="center"/>
              <w:textAlignment w:val="baseline"/>
              <w:rPr>
                <w:rFonts w:ascii="宋体"/>
                <w:color w:val="auto"/>
                <w:kern w:val="0"/>
                <w:sz w:val="24"/>
                <w:u w:color="000000"/>
              </w:rPr>
            </w:pPr>
            <w:r>
              <w:rPr>
                <w:rFonts w:hint="eastAsia" w:ascii="宋体"/>
                <w:color w:val="auto"/>
                <w:kern w:val="0"/>
                <w:sz w:val="24"/>
                <w:u w:color="000000"/>
              </w:rPr>
              <w:t>项目名称</w:t>
            </w:r>
          </w:p>
        </w:tc>
        <w:tc>
          <w:tcPr>
            <w:tcW w:w="7836" w:type="dxa"/>
            <w:tcBorders>
              <w:top w:val="single" w:color="auto" w:sz="12" w:space="0"/>
              <w:left w:val="single" w:color="auto" w:sz="12" w:space="0"/>
              <w:bottom w:val="single" w:color="auto" w:sz="12" w:space="0"/>
            </w:tcBorders>
            <w:vAlign w:val="center"/>
          </w:tcPr>
          <w:p w14:paraId="271AAD5A">
            <w:pPr>
              <w:widowControl/>
              <w:spacing w:line="360" w:lineRule="auto"/>
              <w:jc w:val="left"/>
              <w:textAlignment w:val="baseline"/>
              <w:rPr>
                <w:rFonts w:hint="eastAsia" w:eastAsia="宋体"/>
                <w:color w:val="auto"/>
                <w:kern w:val="0"/>
                <w:sz w:val="24"/>
                <w:u w:color="000000"/>
                <w:lang w:eastAsia="zh-CN"/>
              </w:rPr>
            </w:pPr>
          </w:p>
        </w:tc>
      </w:tr>
      <w:tr w14:paraId="1E010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9" w:hRule="exact"/>
        </w:trPr>
        <w:tc>
          <w:tcPr>
            <w:tcW w:w="1812" w:type="dxa"/>
            <w:tcBorders>
              <w:right w:val="single" w:color="auto" w:sz="12" w:space="0"/>
            </w:tcBorders>
            <w:vAlign w:val="center"/>
          </w:tcPr>
          <w:p w14:paraId="1A6C7031">
            <w:pPr>
              <w:widowControl/>
              <w:spacing w:line="460" w:lineRule="exact"/>
              <w:ind w:firstLine="120" w:firstLineChars="50"/>
              <w:textAlignment w:val="baseline"/>
              <w:rPr>
                <w:rFonts w:ascii="宋体"/>
                <w:color w:val="auto"/>
                <w:kern w:val="0"/>
                <w:sz w:val="24"/>
                <w:u w:color="000000"/>
              </w:rPr>
            </w:pPr>
            <w:r>
              <w:rPr>
                <w:rFonts w:hint="eastAsia" w:ascii="宋体"/>
                <w:color w:val="auto"/>
                <w:kern w:val="0"/>
                <w:sz w:val="24"/>
                <w:u w:color="000000"/>
              </w:rPr>
              <w:t>供应商名称</w:t>
            </w:r>
          </w:p>
        </w:tc>
        <w:tc>
          <w:tcPr>
            <w:tcW w:w="7836" w:type="dxa"/>
            <w:tcBorders>
              <w:left w:val="single" w:color="auto" w:sz="12" w:space="0"/>
            </w:tcBorders>
          </w:tcPr>
          <w:p w14:paraId="030F8418">
            <w:pPr>
              <w:spacing w:line="460" w:lineRule="exact"/>
              <w:ind w:left="86" w:leftChars="41"/>
              <w:rPr>
                <w:rFonts w:ascii="宋体" w:hAnsi="Arial"/>
                <w:color w:val="auto"/>
                <w:sz w:val="24"/>
                <w:u w:color="000000"/>
              </w:rPr>
            </w:pPr>
          </w:p>
        </w:tc>
      </w:tr>
      <w:tr w14:paraId="0BE5F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5" w:hRule="exact"/>
        </w:trPr>
        <w:tc>
          <w:tcPr>
            <w:tcW w:w="1812" w:type="dxa"/>
            <w:tcBorders>
              <w:right w:val="single" w:color="auto" w:sz="12" w:space="0"/>
            </w:tcBorders>
            <w:vAlign w:val="center"/>
          </w:tcPr>
          <w:p w14:paraId="24E55C07">
            <w:pPr>
              <w:widowControl/>
              <w:spacing w:line="360" w:lineRule="auto"/>
              <w:jc w:val="center"/>
              <w:textAlignment w:val="baseline"/>
              <w:rPr>
                <w:rFonts w:ascii="宋体"/>
                <w:color w:val="auto"/>
                <w:kern w:val="0"/>
                <w:sz w:val="24"/>
                <w:u w:color="000000"/>
              </w:rPr>
            </w:pPr>
            <w:r>
              <w:rPr>
                <w:rFonts w:hint="eastAsia" w:ascii="宋体"/>
                <w:color w:val="auto"/>
                <w:kern w:val="0"/>
                <w:sz w:val="24"/>
                <w:u w:color="000000"/>
              </w:rPr>
              <w:t>总投标价\</w:t>
            </w:r>
            <w:r>
              <w:rPr>
                <w:rFonts w:hint="eastAsia" w:ascii="宋体"/>
                <w:color w:val="auto"/>
                <w:kern w:val="0"/>
                <w:sz w:val="24"/>
                <w:u w:color="000000"/>
                <w:lang w:val="en-US" w:eastAsia="zh-CN"/>
              </w:rPr>
              <w:t>服务</w:t>
            </w:r>
            <w:r>
              <w:rPr>
                <w:rFonts w:hint="eastAsia" w:ascii="宋体"/>
                <w:color w:val="auto"/>
                <w:kern w:val="0"/>
                <w:sz w:val="24"/>
                <w:u w:color="000000"/>
              </w:rPr>
              <w:t>期限</w:t>
            </w:r>
          </w:p>
        </w:tc>
        <w:tc>
          <w:tcPr>
            <w:tcW w:w="7836" w:type="dxa"/>
            <w:tcBorders>
              <w:left w:val="single" w:color="auto" w:sz="12" w:space="0"/>
            </w:tcBorders>
            <w:vAlign w:val="center"/>
          </w:tcPr>
          <w:p w14:paraId="5265CAF9">
            <w:pPr>
              <w:widowControl/>
              <w:spacing w:line="360" w:lineRule="auto"/>
              <w:textAlignment w:val="baseline"/>
              <w:rPr>
                <w:rFonts w:ascii="宋体"/>
                <w:color w:val="auto"/>
                <w:kern w:val="0"/>
                <w:sz w:val="24"/>
              </w:rPr>
            </w:pPr>
            <w:r>
              <w:rPr>
                <w:rFonts w:hint="eastAsia" w:ascii="宋体"/>
                <w:color w:val="auto"/>
                <w:kern w:val="0"/>
                <w:sz w:val="24"/>
                <w:u w:color="000000"/>
              </w:rPr>
              <w:t>总投标价 （大写）：</w:t>
            </w:r>
            <w:r>
              <w:rPr>
                <w:rFonts w:hint="eastAsia" w:ascii="宋体"/>
                <w:color w:val="auto"/>
                <w:kern w:val="0"/>
                <w:sz w:val="24"/>
                <w:u w:val="single" w:color="000000"/>
              </w:rPr>
              <w:t xml:space="preserve">                    </w:t>
            </w:r>
            <w:r>
              <w:rPr>
                <w:rFonts w:hint="eastAsia" w:ascii="宋体"/>
                <w:color w:val="auto"/>
                <w:kern w:val="0"/>
                <w:sz w:val="24"/>
              </w:rPr>
              <w:t>元</w:t>
            </w:r>
          </w:p>
          <w:p w14:paraId="781B3267">
            <w:pPr>
              <w:widowControl/>
              <w:spacing w:line="360" w:lineRule="auto"/>
              <w:ind w:firstLine="1080" w:firstLineChars="450"/>
              <w:textAlignment w:val="baseline"/>
              <w:rPr>
                <w:rFonts w:ascii="宋体"/>
                <w:color w:val="auto"/>
                <w:kern w:val="0"/>
                <w:sz w:val="24"/>
              </w:rPr>
            </w:pPr>
            <w:r>
              <w:rPr>
                <w:rFonts w:hint="eastAsia" w:ascii="宋体"/>
                <w:color w:val="auto"/>
                <w:kern w:val="0"/>
                <w:sz w:val="24"/>
                <w:u w:color="000000"/>
              </w:rPr>
              <w:t xml:space="preserve"> (小写) ：</w:t>
            </w:r>
            <w:r>
              <w:rPr>
                <w:rFonts w:hint="eastAsia" w:ascii="宋体"/>
                <w:color w:val="auto"/>
                <w:kern w:val="0"/>
                <w:sz w:val="24"/>
                <w:u w:val="single" w:color="000000"/>
              </w:rPr>
              <w:t xml:space="preserve">                    </w:t>
            </w:r>
            <w:r>
              <w:rPr>
                <w:rFonts w:hint="eastAsia" w:ascii="宋体"/>
                <w:color w:val="auto"/>
                <w:kern w:val="0"/>
                <w:sz w:val="24"/>
              </w:rPr>
              <w:t>元</w:t>
            </w:r>
          </w:p>
          <w:p w14:paraId="78A15097">
            <w:pPr>
              <w:widowControl/>
              <w:spacing w:line="360" w:lineRule="auto"/>
              <w:textAlignment w:val="baseline"/>
              <w:rPr>
                <w:rFonts w:ascii="宋体"/>
                <w:color w:val="auto"/>
                <w:kern w:val="0"/>
                <w:sz w:val="24"/>
                <w:u w:color="000000"/>
              </w:rPr>
            </w:pPr>
          </w:p>
          <w:p w14:paraId="67889897">
            <w:pPr>
              <w:widowControl/>
              <w:spacing w:line="360" w:lineRule="auto"/>
              <w:textAlignment w:val="baseline"/>
              <w:rPr>
                <w:rFonts w:ascii="宋体"/>
                <w:color w:val="auto"/>
                <w:kern w:val="0"/>
                <w:sz w:val="24"/>
                <w:u w:color="000000"/>
              </w:rPr>
            </w:pPr>
            <w:r>
              <w:rPr>
                <w:rFonts w:hint="eastAsia" w:ascii="宋体"/>
                <w:color w:val="auto"/>
                <w:kern w:val="0"/>
                <w:sz w:val="24"/>
                <w:u w:color="000000"/>
                <w:lang w:val="en-US" w:eastAsia="zh-CN"/>
              </w:rPr>
              <w:t>服务</w:t>
            </w:r>
            <w:r>
              <w:rPr>
                <w:rFonts w:hint="eastAsia" w:ascii="宋体"/>
                <w:color w:val="auto"/>
                <w:kern w:val="0"/>
                <w:sz w:val="24"/>
                <w:u w:color="000000"/>
              </w:rPr>
              <w:t>期限：</w:t>
            </w:r>
            <w:r>
              <w:rPr>
                <w:rFonts w:hint="eastAsia" w:ascii="宋体"/>
                <w:color w:val="auto"/>
                <w:kern w:val="0"/>
                <w:sz w:val="24"/>
                <w:u w:val="single" w:color="auto"/>
              </w:rPr>
              <w:t xml:space="preserve">         。</w:t>
            </w:r>
          </w:p>
        </w:tc>
      </w:tr>
    </w:tbl>
    <w:p w14:paraId="45738BDA">
      <w:pPr>
        <w:snapToGrid w:val="0"/>
        <w:spacing w:line="460" w:lineRule="exact"/>
        <w:ind w:left="2940" w:leftChars="1400" w:firstLine="723" w:firstLineChars="300"/>
        <w:textAlignment w:val="baseline"/>
        <w:rPr>
          <w:rFonts w:ascii="宋体"/>
          <w:b/>
          <w:color w:val="auto"/>
          <w:kern w:val="0"/>
          <w:sz w:val="24"/>
          <w:u w:color="000000"/>
        </w:rPr>
      </w:pPr>
    </w:p>
    <w:p w14:paraId="54BAD5CD">
      <w:pPr>
        <w:snapToGrid w:val="0"/>
        <w:spacing w:line="460" w:lineRule="exact"/>
        <w:ind w:left="2940" w:leftChars="1400" w:firstLine="723" w:firstLineChars="300"/>
        <w:textAlignment w:val="baseline"/>
        <w:rPr>
          <w:rFonts w:ascii="宋体"/>
          <w:b/>
          <w:color w:val="auto"/>
          <w:kern w:val="0"/>
          <w:sz w:val="24"/>
          <w:u w:color="000000"/>
        </w:rPr>
      </w:pPr>
    </w:p>
    <w:p w14:paraId="02AFBE23">
      <w:pPr>
        <w:snapToGrid w:val="0"/>
        <w:spacing w:line="460" w:lineRule="exact"/>
        <w:ind w:left="2940" w:leftChars="1400" w:firstLine="723" w:firstLineChars="300"/>
        <w:textAlignment w:val="baseline"/>
        <w:rPr>
          <w:rFonts w:ascii="宋体"/>
          <w:b/>
          <w:color w:val="auto"/>
          <w:kern w:val="0"/>
          <w:sz w:val="24"/>
          <w:u w:color="000000"/>
        </w:rPr>
      </w:pPr>
    </w:p>
    <w:p w14:paraId="075EA460">
      <w:pPr>
        <w:widowControl/>
        <w:spacing w:line="357" w:lineRule="atLeast"/>
        <w:textAlignment w:val="baseline"/>
        <w:rPr>
          <w:rFonts w:ascii="宋体"/>
          <w:color w:val="auto"/>
          <w:kern w:val="0"/>
          <w:sz w:val="24"/>
          <w:u w:color="000000"/>
        </w:rPr>
      </w:pPr>
      <w:r>
        <w:rPr>
          <w:rFonts w:hint="eastAsia" w:ascii="宋体"/>
          <w:color w:val="auto"/>
          <w:kern w:val="0"/>
          <w:sz w:val="24"/>
          <w:u w:color="000000"/>
        </w:rPr>
        <w:t>法定代表人（签字或盖章）：                          供应商（盖单位章）：</w:t>
      </w:r>
    </w:p>
    <w:p w14:paraId="199E098D">
      <w:pPr>
        <w:widowControl/>
        <w:spacing w:line="357" w:lineRule="atLeast"/>
        <w:textAlignment w:val="baseline"/>
        <w:rPr>
          <w:rFonts w:ascii="宋体"/>
          <w:color w:val="auto"/>
          <w:kern w:val="0"/>
          <w:sz w:val="24"/>
          <w:u w:color="000000"/>
        </w:rPr>
      </w:pPr>
      <w:r>
        <w:rPr>
          <w:rFonts w:hint="eastAsia" w:ascii="宋体"/>
          <w:color w:val="auto"/>
          <w:kern w:val="0"/>
          <w:sz w:val="24"/>
          <w:u w:color="000000"/>
        </w:rPr>
        <w:t xml:space="preserve">                               </w:t>
      </w:r>
    </w:p>
    <w:p w14:paraId="5E0E8088">
      <w:pPr>
        <w:snapToGrid w:val="0"/>
        <w:spacing w:before="324" w:beforeLines="100" w:after="324" w:afterLines="100" w:line="360" w:lineRule="auto"/>
        <w:jc w:val="center"/>
        <w:textAlignment w:val="baseline"/>
        <w:rPr>
          <w:rFonts w:ascii="宋体"/>
          <w:color w:val="auto"/>
          <w:kern w:val="0"/>
          <w:sz w:val="24"/>
          <w:u w:color="000000"/>
        </w:rPr>
      </w:pPr>
      <w:r>
        <w:rPr>
          <w:rFonts w:hint="eastAsia" w:ascii="宋体"/>
          <w:color w:val="auto"/>
          <w:kern w:val="0"/>
          <w:sz w:val="24"/>
          <w:u w:color="000000"/>
        </w:rPr>
        <w:t xml:space="preserve">                                           日  期：    年  月  日 </w:t>
      </w:r>
    </w:p>
    <w:p w14:paraId="5205811F">
      <w:pPr>
        <w:rPr>
          <w:color w:val="auto"/>
        </w:rPr>
      </w:pPr>
    </w:p>
    <w:p w14:paraId="50522A6C">
      <w:pPr>
        <w:pStyle w:val="21"/>
        <w:ind w:firstLine="0" w:firstLineChars="0"/>
        <w:rPr>
          <w:b/>
          <w:bCs/>
          <w:color w:val="auto"/>
        </w:rPr>
      </w:pPr>
    </w:p>
    <w:p w14:paraId="279A7C6C">
      <w:pPr>
        <w:pStyle w:val="17"/>
        <w:ind w:left="422" w:hanging="422"/>
        <w:rPr>
          <w:b/>
          <w:bCs/>
          <w:color w:val="auto"/>
        </w:rPr>
      </w:pPr>
    </w:p>
    <w:p w14:paraId="6FD7C508">
      <w:pPr>
        <w:pStyle w:val="17"/>
        <w:ind w:left="422" w:hanging="422"/>
        <w:rPr>
          <w:b/>
          <w:bCs/>
          <w:color w:val="auto"/>
        </w:rPr>
      </w:pPr>
    </w:p>
    <w:p w14:paraId="4A4DB6D6">
      <w:pPr>
        <w:pStyle w:val="17"/>
        <w:ind w:left="422" w:hanging="422"/>
        <w:rPr>
          <w:b/>
          <w:bCs/>
          <w:color w:val="auto"/>
        </w:rPr>
      </w:pPr>
    </w:p>
    <w:p w14:paraId="58537C2B">
      <w:pPr>
        <w:pStyle w:val="17"/>
        <w:ind w:left="422" w:hanging="422"/>
        <w:rPr>
          <w:b/>
          <w:bCs/>
          <w:color w:val="auto"/>
        </w:rPr>
      </w:pPr>
    </w:p>
    <w:p w14:paraId="1DFE8187">
      <w:pPr>
        <w:pStyle w:val="17"/>
        <w:ind w:left="422" w:hanging="422"/>
        <w:rPr>
          <w:b/>
          <w:bCs/>
          <w:color w:val="auto"/>
        </w:rPr>
      </w:pPr>
    </w:p>
    <w:p w14:paraId="65F83346">
      <w:pPr>
        <w:pStyle w:val="17"/>
        <w:ind w:left="422" w:hanging="422"/>
        <w:rPr>
          <w:b/>
          <w:bCs/>
          <w:color w:val="auto"/>
        </w:rPr>
      </w:pPr>
    </w:p>
    <w:p w14:paraId="69E5FE78">
      <w:pPr>
        <w:pStyle w:val="17"/>
        <w:ind w:left="422" w:hanging="422"/>
        <w:rPr>
          <w:b/>
          <w:bCs/>
          <w:color w:val="auto"/>
        </w:rPr>
      </w:pPr>
    </w:p>
    <w:p w14:paraId="31EF1876">
      <w:pPr>
        <w:pStyle w:val="17"/>
        <w:ind w:left="422" w:hanging="422"/>
        <w:rPr>
          <w:b/>
          <w:bCs/>
          <w:color w:val="auto"/>
        </w:rPr>
      </w:pPr>
    </w:p>
    <w:p w14:paraId="75486A4F">
      <w:pPr>
        <w:pStyle w:val="17"/>
        <w:ind w:left="422" w:hanging="422"/>
        <w:rPr>
          <w:b/>
          <w:bCs/>
          <w:color w:val="auto"/>
        </w:rPr>
      </w:pPr>
    </w:p>
    <w:p w14:paraId="5580F4C4">
      <w:pPr>
        <w:spacing w:line="360" w:lineRule="exact"/>
        <w:ind w:firstLine="443" w:firstLineChars="147"/>
        <w:rPr>
          <w:rFonts w:hint="eastAsia" w:ascii="宋体"/>
          <w:b/>
          <w:color w:val="000000"/>
          <w:sz w:val="30"/>
          <w:szCs w:val="30"/>
          <w:highlight w:val="none"/>
        </w:rPr>
      </w:pPr>
    </w:p>
    <w:p w14:paraId="5C5FDCEF">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投  标  函</w:t>
      </w:r>
    </w:p>
    <w:p w14:paraId="7FCC02D1">
      <w:pPr>
        <w:spacing w:line="440" w:lineRule="exact"/>
        <w:rPr>
          <w:rFonts w:hint="eastAsia" w:ascii="宋体"/>
          <w:color w:val="000000"/>
          <w:sz w:val="24"/>
          <w:highlight w:val="none"/>
        </w:rPr>
      </w:pPr>
    </w:p>
    <w:p w14:paraId="677713F7">
      <w:pPr>
        <w:spacing w:line="440" w:lineRule="exact"/>
        <w:rPr>
          <w:rFonts w:hint="eastAsia" w:ascii="宋体"/>
          <w:color w:val="000000"/>
          <w:sz w:val="24"/>
          <w:highlight w:val="none"/>
        </w:rPr>
      </w:pPr>
      <w:r>
        <w:rPr>
          <w:rFonts w:hint="eastAsia" w:ascii="宋体"/>
          <w:color w:val="000000"/>
          <w:sz w:val="24"/>
          <w:highlight w:val="none"/>
        </w:rPr>
        <w:t>致：</w:t>
      </w:r>
      <w:r>
        <w:rPr>
          <w:rFonts w:hint="eastAsia" w:ascii="宋体"/>
          <w:color w:val="000000"/>
          <w:sz w:val="24"/>
          <w:highlight w:val="none"/>
          <w:u w:val="single"/>
        </w:rPr>
        <w:t xml:space="preserve">       (采购人)       </w:t>
      </w:r>
      <w:r>
        <w:rPr>
          <w:rFonts w:hint="eastAsia" w:ascii="宋体"/>
          <w:color w:val="000000"/>
          <w:sz w:val="24"/>
          <w:highlight w:val="none"/>
        </w:rPr>
        <w:t xml:space="preserve"> </w:t>
      </w:r>
    </w:p>
    <w:p w14:paraId="71976882">
      <w:pPr>
        <w:spacing w:line="440" w:lineRule="exact"/>
        <w:ind w:firstLine="480" w:firstLineChars="200"/>
        <w:rPr>
          <w:rFonts w:hint="eastAsia" w:ascii="宋体"/>
          <w:color w:val="000000"/>
          <w:sz w:val="24"/>
          <w:highlight w:val="none"/>
        </w:rPr>
      </w:pPr>
      <w:r>
        <w:rPr>
          <w:rFonts w:hint="eastAsia" w:ascii="宋体"/>
          <w:color w:val="000000"/>
          <w:sz w:val="24"/>
          <w:highlight w:val="none"/>
        </w:rPr>
        <w:t>1.我们决定参加贵单位组织的“</w:t>
      </w:r>
      <w:r>
        <w:rPr>
          <w:rFonts w:hint="eastAsia" w:ascii="宋体"/>
          <w:color w:val="000000"/>
          <w:sz w:val="24"/>
          <w:highlight w:val="none"/>
          <w:u w:val="single"/>
        </w:rPr>
        <w:t xml:space="preserve"> （项目名称）    </w:t>
      </w:r>
      <w:r>
        <w:rPr>
          <w:rFonts w:hint="eastAsia" w:ascii="宋体"/>
          <w:color w:val="000000"/>
          <w:sz w:val="24"/>
          <w:highlight w:val="none"/>
        </w:rPr>
        <w:t xml:space="preserve">”的采购。我方授权 </w:t>
      </w:r>
      <w:r>
        <w:rPr>
          <w:rFonts w:hint="eastAsia" w:ascii="宋体"/>
          <w:color w:val="000000"/>
          <w:sz w:val="24"/>
          <w:highlight w:val="none"/>
          <w:u w:val="single"/>
        </w:rPr>
        <w:t xml:space="preserve">              </w:t>
      </w:r>
      <w:r>
        <w:rPr>
          <w:rFonts w:hint="eastAsia" w:ascii="宋体"/>
          <w:color w:val="000000"/>
          <w:sz w:val="24"/>
          <w:highlight w:val="none"/>
        </w:rPr>
        <w:t>(姓名和职务)代表我方</w:t>
      </w:r>
      <w:r>
        <w:rPr>
          <w:rFonts w:hint="eastAsia" w:ascii="宋体"/>
          <w:color w:val="000000"/>
          <w:sz w:val="24"/>
          <w:highlight w:val="none"/>
          <w:u w:val="single"/>
        </w:rPr>
        <w:t xml:space="preserve">               </w:t>
      </w:r>
      <w:r>
        <w:rPr>
          <w:rFonts w:hint="eastAsia" w:ascii="宋体"/>
          <w:color w:val="000000"/>
          <w:sz w:val="24"/>
          <w:highlight w:val="none"/>
        </w:rPr>
        <w:t>（投标单位的名称）全权处理本项目投标的有关事宜。</w:t>
      </w:r>
    </w:p>
    <w:p w14:paraId="13499EDE">
      <w:pPr>
        <w:spacing w:line="440" w:lineRule="exact"/>
        <w:ind w:firstLine="480" w:firstLineChars="200"/>
        <w:rPr>
          <w:rFonts w:hint="eastAsia" w:ascii="宋体"/>
          <w:color w:val="000000"/>
          <w:sz w:val="24"/>
          <w:highlight w:val="none"/>
        </w:rPr>
      </w:pPr>
      <w:r>
        <w:rPr>
          <w:rFonts w:hint="eastAsia" w:ascii="宋体"/>
          <w:color w:val="000000"/>
          <w:sz w:val="24"/>
          <w:highlight w:val="none"/>
        </w:rPr>
        <w:t>2.我方愿意按照招标文件规定的各项要求，向采购人提供本项目的服务，总投标价为人民币（大写）</w:t>
      </w:r>
      <w:r>
        <w:rPr>
          <w:rFonts w:hint="eastAsia" w:ascii="宋体"/>
          <w:color w:val="000000"/>
          <w:sz w:val="24"/>
          <w:highlight w:val="none"/>
          <w:u w:val="single"/>
        </w:rPr>
        <w:t xml:space="preserve">      </w:t>
      </w:r>
      <w:r>
        <w:rPr>
          <w:rFonts w:ascii="宋体"/>
          <w:color w:val="000000"/>
          <w:sz w:val="24"/>
          <w:highlight w:val="none"/>
          <w:u w:val="single"/>
        </w:rPr>
        <w:t xml:space="preserve">        </w:t>
      </w:r>
      <w:r>
        <w:rPr>
          <w:rFonts w:hint="eastAsia" w:ascii="宋体"/>
          <w:color w:val="000000"/>
          <w:sz w:val="24"/>
          <w:highlight w:val="none"/>
          <w:u w:val="single"/>
          <w:lang w:eastAsia="zh-CN"/>
        </w:rPr>
        <w:t>（</w:t>
      </w:r>
      <w:r>
        <w:rPr>
          <w:rFonts w:hint="eastAsia" w:ascii="宋体"/>
          <w:color w:val="000000"/>
          <w:sz w:val="24"/>
          <w:highlight w:val="none"/>
          <w:u w:val="single"/>
          <w:lang w:val="en-US" w:eastAsia="zh-CN"/>
        </w:rPr>
        <w:t>小写)</w:t>
      </w:r>
      <w:r>
        <w:rPr>
          <w:rFonts w:ascii="宋体"/>
          <w:color w:val="000000"/>
          <w:sz w:val="24"/>
          <w:highlight w:val="none"/>
          <w:u w:val="single"/>
        </w:rPr>
        <w:t xml:space="preserve">        </w:t>
      </w:r>
      <w:r>
        <w:rPr>
          <w:rFonts w:hint="eastAsia" w:ascii="宋体"/>
          <w:color w:val="000000"/>
          <w:sz w:val="24"/>
          <w:highlight w:val="none"/>
          <w:u w:val="none"/>
          <w:lang w:val="en-US" w:eastAsia="zh-CN"/>
        </w:rPr>
        <w:t>元</w:t>
      </w:r>
      <w:r>
        <w:rPr>
          <w:rFonts w:hint="eastAsia" w:ascii="宋体"/>
          <w:color w:val="000000"/>
          <w:sz w:val="24"/>
          <w:highlight w:val="none"/>
        </w:rPr>
        <w:t>。3.一旦我方成为合同签字人，我方将严格履行合同规定的责任和义务。</w:t>
      </w:r>
    </w:p>
    <w:p w14:paraId="27A55AB5">
      <w:pPr>
        <w:spacing w:line="440" w:lineRule="exact"/>
        <w:ind w:firstLine="480" w:firstLineChars="200"/>
        <w:rPr>
          <w:rFonts w:hint="eastAsia" w:ascii="宋体"/>
          <w:color w:val="000000"/>
          <w:sz w:val="24"/>
          <w:highlight w:val="none"/>
        </w:rPr>
      </w:pPr>
      <w:r>
        <w:rPr>
          <w:rFonts w:hint="eastAsia" w:ascii="宋体"/>
          <w:color w:val="000000"/>
          <w:sz w:val="24"/>
          <w:highlight w:val="none"/>
        </w:rPr>
        <w:t>4.若我方中标，愿意为本项目提交的纸质投标书一式三份，其中正本一份、副本二份。</w:t>
      </w:r>
    </w:p>
    <w:p w14:paraId="5BB2C023">
      <w:pPr>
        <w:spacing w:line="440" w:lineRule="exact"/>
        <w:ind w:firstLine="480" w:firstLineChars="200"/>
        <w:rPr>
          <w:rFonts w:hint="eastAsia" w:ascii="宋体"/>
          <w:color w:val="000000"/>
          <w:sz w:val="24"/>
          <w:highlight w:val="none"/>
        </w:rPr>
      </w:pPr>
      <w:r>
        <w:rPr>
          <w:rFonts w:hint="eastAsia" w:ascii="宋体"/>
          <w:color w:val="000000"/>
          <w:sz w:val="24"/>
          <w:highlight w:val="none"/>
        </w:rPr>
        <w:t>5.我方愿意提供可能另外要求的、与采购投标有关的文件资料，并保证我方已提供和将要提供的文件是真实的、准确的。</w:t>
      </w:r>
    </w:p>
    <w:p w14:paraId="0AF8F19E">
      <w:pPr>
        <w:spacing w:line="440" w:lineRule="exact"/>
        <w:ind w:firstLine="480" w:firstLineChars="200"/>
        <w:rPr>
          <w:rFonts w:hint="eastAsia" w:ascii="宋体"/>
          <w:color w:val="000000"/>
          <w:sz w:val="24"/>
          <w:highlight w:val="none"/>
        </w:rPr>
      </w:pPr>
      <w:r>
        <w:rPr>
          <w:rFonts w:hint="eastAsia" w:ascii="宋体"/>
          <w:color w:val="000000"/>
          <w:sz w:val="24"/>
          <w:highlight w:val="none"/>
        </w:rPr>
        <w:t>6.我单位提供如下通讯地址</w:t>
      </w:r>
      <w:r>
        <w:rPr>
          <w:rFonts w:hint="eastAsia" w:ascii="宋体"/>
          <w:color w:val="000000"/>
          <w:sz w:val="24"/>
          <w:highlight w:val="none"/>
          <w:u w:val="single"/>
        </w:rPr>
        <w:t xml:space="preserve">：                </w:t>
      </w:r>
      <w:r>
        <w:rPr>
          <w:rFonts w:hint="eastAsia" w:ascii="宋体"/>
          <w:color w:val="000000"/>
          <w:sz w:val="24"/>
          <w:highlight w:val="none"/>
        </w:rPr>
        <w:t>电子邮箱（地址）</w:t>
      </w:r>
      <w:r>
        <w:rPr>
          <w:rFonts w:hint="eastAsia" w:ascii="宋体"/>
          <w:color w:val="000000"/>
          <w:sz w:val="24"/>
          <w:highlight w:val="none"/>
          <w:lang w:eastAsia="zh-CN"/>
        </w:rPr>
        <w:t>。</w:t>
      </w:r>
      <w:r>
        <w:rPr>
          <w:rFonts w:hint="eastAsia" w:ascii="宋体"/>
          <w:color w:val="000000"/>
          <w:sz w:val="24"/>
          <w:highlight w:val="none"/>
        </w:rPr>
        <w:t>确认本项目相关法律文书均通过提供的以上地址送达，相关文书只要发送至以上电子邮箱（地址）即视为送达，投标人愿意承担一切法律后果。</w:t>
      </w:r>
    </w:p>
    <w:p w14:paraId="0317FA8D">
      <w:pPr>
        <w:pStyle w:val="21"/>
        <w:ind w:left="420" w:firstLine="420"/>
        <w:rPr>
          <w:color w:val="000000"/>
          <w:highlight w:val="none"/>
        </w:rPr>
      </w:pPr>
    </w:p>
    <w:p w14:paraId="1D950816">
      <w:pPr>
        <w:spacing w:line="360" w:lineRule="auto"/>
        <w:ind w:firstLine="240" w:firstLineChars="100"/>
        <w:rPr>
          <w:rFonts w:hint="eastAsia" w:ascii="宋体"/>
          <w:color w:val="000000"/>
          <w:sz w:val="24"/>
          <w:highlight w:val="none"/>
        </w:rPr>
      </w:pPr>
    </w:p>
    <w:p w14:paraId="7A2F37D4">
      <w:pPr>
        <w:spacing w:line="360" w:lineRule="auto"/>
        <w:ind w:firstLine="240" w:firstLineChars="100"/>
        <w:rPr>
          <w:rFonts w:hint="eastAsia" w:ascii="宋体"/>
          <w:color w:val="000000"/>
          <w:sz w:val="24"/>
          <w:szCs w:val="24"/>
          <w:highlight w:val="none"/>
        </w:rPr>
      </w:pPr>
      <w:r>
        <w:rPr>
          <w:rFonts w:hint="eastAsia" w:ascii="宋体" w:hAnsi="宋体"/>
          <w:bCs/>
          <w:color w:val="000000"/>
          <w:sz w:val="24"/>
          <w:szCs w:val="24"/>
          <w:highlight w:val="none"/>
        </w:rPr>
        <w:t>投标单位名称</w:t>
      </w:r>
      <w:r>
        <w:rPr>
          <w:rFonts w:hint="eastAsia" w:ascii="宋体"/>
          <w:color w:val="000000"/>
          <w:sz w:val="24"/>
          <w:szCs w:val="24"/>
          <w:highlight w:val="none"/>
          <w:u w:val="single"/>
        </w:rPr>
        <w:t>：                                ；</w:t>
      </w:r>
      <w:r>
        <w:rPr>
          <w:rFonts w:hint="eastAsia" w:ascii="宋体"/>
          <w:color w:val="000000"/>
          <w:sz w:val="24"/>
          <w:szCs w:val="24"/>
          <w:highlight w:val="none"/>
        </w:rPr>
        <w:t>（盖章）</w:t>
      </w:r>
    </w:p>
    <w:p w14:paraId="11ACC929">
      <w:pPr>
        <w:spacing w:line="360" w:lineRule="auto"/>
        <w:rPr>
          <w:rFonts w:hint="eastAsia" w:ascii="宋体"/>
          <w:color w:val="000000"/>
          <w:sz w:val="24"/>
          <w:szCs w:val="24"/>
          <w:highlight w:val="none"/>
        </w:rPr>
      </w:pPr>
      <w:r>
        <w:rPr>
          <w:rFonts w:hint="eastAsia" w:ascii="宋体"/>
          <w:color w:val="000000"/>
          <w:sz w:val="24"/>
          <w:szCs w:val="24"/>
          <w:highlight w:val="none"/>
        </w:rPr>
        <w:t xml:space="preserve">  </w:t>
      </w:r>
      <w:r>
        <w:rPr>
          <w:rFonts w:hint="eastAsia" w:ascii="宋体" w:hAnsi="宋体"/>
          <w:bCs/>
          <w:color w:val="000000"/>
          <w:sz w:val="24"/>
          <w:szCs w:val="24"/>
          <w:highlight w:val="none"/>
        </w:rPr>
        <w:t>法定代表人或其委托代理人</w:t>
      </w:r>
      <w:r>
        <w:rPr>
          <w:rFonts w:hint="eastAsia" w:ascii="宋体"/>
          <w:color w:val="000000"/>
          <w:sz w:val="24"/>
          <w:szCs w:val="24"/>
          <w:highlight w:val="none"/>
        </w:rPr>
        <w:t>：</w:t>
      </w:r>
      <w:r>
        <w:rPr>
          <w:rFonts w:hint="eastAsia" w:ascii="宋体"/>
          <w:color w:val="000000"/>
          <w:sz w:val="24"/>
          <w:szCs w:val="24"/>
          <w:highlight w:val="none"/>
          <w:u w:val="single"/>
        </w:rPr>
        <w:t xml:space="preserve">                      ；</w:t>
      </w:r>
      <w:r>
        <w:rPr>
          <w:rFonts w:hint="eastAsia" w:ascii="宋体"/>
          <w:color w:val="000000"/>
          <w:sz w:val="24"/>
          <w:szCs w:val="24"/>
          <w:highlight w:val="none"/>
        </w:rPr>
        <w:t>（签字或盖章）</w:t>
      </w:r>
    </w:p>
    <w:p w14:paraId="1838D4AA">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 xml:space="preserve">  日    期：</w:t>
      </w:r>
      <w:r>
        <w:rPr>
          <w:rFonts w:hint="eastAsia" w:ascii="宋体" w:hAnsi="宋体"/>
          <w:color w:val="000000"/>
          <w:sz w:val="24"/>
          <w:szCs w:val="24"/>
          <w:highlight w:val="none"/>
          <w:u w:val="single"/>
        </w:rPr>
        <w:t xml:space="preserve">                               ；  </w:t>
      </w:r>
    </w:p>
    <w:p w14:paraId="4E5C14F0">
      <w:pPr>
        <w:spacing w:line="360" w:lineRule="auto"/>
        <w:ind w:firstLine="240" w:firstLineChars="100"/>
        <w:rPr>
          <w:rFonts w:hint="eastAsia" w:ascii="宋体" w:hAnsi="宋体"/>
          <w:color w:val="000000"/>
          <w:sz w:val="24"/>
          <w:szCs w:val="24"/>
          <w:highlight w:val="none"/>
          <w:u w:val="single"/>
        </w:rPr>
      </w:pPr>
      <w:r>
        <w:rPr>
          <w:rFonts w:hint="eastAsia" w:ascii="宋体" w:hAnsi="宋体"/>
          <w:color w:val="000000"/>
          <w:sz w:val="24"/>
          <w:szCs w:val="24"/>
          <w:highlight w:val="none"/>
        </w:rPr>
        <w:t>通讯地址：</w:t>
      </w:r>
      <w:r>
        <w:rPr>
          <w:rFonts w:hint="eastAsia" w:ascii="宋体" w:hAnsi="宋体"/>
          <w:color w:val="000000"/>
          <w:sz w:val="24"/>
          <w:szCs w:val="24"/>
          <w:highlight w:val="none"/>
          <w:u w:val="single"/>
        </w:rPr>
        <w:t xml:space="preserve">                                 ；</w:t>
      </w:r>
    </w:p>
    <w:p w14:paraId="7A59739B">
      <w:pPr>
        <w:spacing w:line="360" w:lineRule="auto"/>
        <w:ind w:firstLine="240" w:firstLineChars="100"/>
        <w:rPr>
          <w:rFonts w:ascii="宋体" w:hAnsi="宋体"/>
          <w:color w:val="000000"/>
          <w:sz w:val="24"/>
          <w:szCs w:val="24"/>
          <w:highlight w:val="none"/>
          <w:u w:val="single"/>
        </w:rPr>
      </w:pPr>
      <w:r>
        <w:rPr>
          <w:rFonts w:hint="eastAsia" w:ascii="宋体" w:hAnsi="宋体"/>
          <w:color w:val="000000"/>
          <w:sz w:val="24"/>
          <w:szCs w:val="24"/>
          <w:highlight w:val="none"/>
        </w:rPr>
        <w:t>电   话 ：</w:t>
      </w:r>
      <w:r>
        <w:rPr>
          <w:rFonts w:hint="eastAsia" w:ascii="宋体" w:hAnsi="宋体"/>
          <w:color w:val="000000"/>
          <w:sz w:val="24"/>
          <w:szCs w:val="24"/>
          <w:highlight w:val="none"/>
          <w:u w:val="single"/>
        </w:rPr>
        <w:t xml:space="preserve">                                 。</w:t>
      </w:r>
    </w:p>
    <w:p w14:paraId="756FCE94">
      <w:pPr>
        <w:pStyle w:val="21"/>
        <w:ind w:firstLine="0" w:firstLineChars="0"/>
        <w:rPr>
          <w:rFonts w:hAnsi="宋体" w:cs="宋体"/>
          <w:b/>
          <w:color w:val="auto"/>
          <w:sz w:val="24"/>
        </w:rPr>
      </w:pPr>
    </w:p>
    <w:p w14:paraId="1D64FC2A">
      <w:pPr>
        <w:rPr>
          <w:color w:val="auto"/>
        </w:rPr>
      </w:pPr>
    </w:p>
    <w:p w14:paraId="618DC70D">
      <w:pPr>
        <w:pStyle w:val="17"/>
        <w:ind w:left="482" w:hanging="482"/>
        <w:rPr>
          <w:rFonts w:hAnsi="宋体" w:cs="宋体"/>
          <w:b/>
          <w:color w:val="auto"/>
          <w:sz w:val="24"/>
        </w:rPr>
      </w:pPr>
    </w:p>
    <w:p w14:paraId="74E2BCBB">
      <w:pPr>
        <w:pStyle w:val="17"/>
        <w:ind w:left="482" w:hanging="482"/>
        <w:rPr>
          <w:rFonts w:hAnsi="宋体" w:cs="宋体"/>
          <w:b/>
          <w:color w:val="auto"/>
          <w:sz w:val="24"/>
        </w:rPr>
      </w:pPr>
    </w:p>
    <w:p w14:paraId="47E88498">
      <w:pPr>
        <w:pStyle w:val="17"/>
        <w:ind w:left="482" w:hanging="482"/>
        <w:rPr>
          <w:rFonts w:hAnsi="宋体" w:cs="宋体"/>
          <w:b/>
          <w:color w:val="auto"/>
          <w:sz w:val="24"/>
        </w:rPr>
      </w:pPr>
    </w:p>
    <w:p w14:paraId="6B71234B">
      <w:pPr>
        <w:pStyle w:val="17"/>
        <w:ind w:left="482" w:hanging="482"/>
        <w:rPr>
          <w:rFonts w:hAnsi="宋体" w:cs="宋体"/>
          <w:b/>
          <w:color w:val="auto"/>
          <w:sz w:val="24"/>
        </w:rPr>
      </w:pPr>
    </w:p>
    <w:p w14:paraId="2915A2FA">
      <w:pPr>
        <w:pStyle w:val="17"/>
        <w:ind w:left="482" w:hanging="482"/>
        <w:rPr>
          <w:rFonts w:hAnsi="宋体" w:cs="宋体"/>
          <w:b/>
          <w:color w:val="auto"/>
          <w:sz w:val="24"/>
        </w:rPr>
      </w:pPr>
    </w:p>
    <w:p w14:paraId="7012341D">
      <w:pPr>
        <w:pStyle w:val="17"/>
        <w:ind w:left="482" w:hanging="482"/>
        <w:rPr>
          <w:rFonts w:hAnsi="宋体" w:cs="宋体"/>
          <w:b/>
          <w:color w:val="auto"/>
          <w:sz w:val="24"/>
        </w:rPr>
      </w:pPr>
    </w:p>
    <w:p w14:paraId="4FE271C9">
      <w:pPr>
        <w:pStyle w:val="17"/>
        <w:ind w:left="482" w:hanging="482"/>
        <w:rPr>
          <w:rFonts w:hAnsi="宋体" w:cs="宋体"/>
          <w:b/>
          <w:color w:val="auto"/>
          <w:sz w:val="24"/>
        </w:rPr>
      </w:pPr>
    </w:p>
    <w:p w14:paraId="3D94F994">
      <w:pPr>
        <w:pStyle w:val="17"/>
        <w:ind w:left="482" w:hanging="482"/>
        <w:rPr>
          <w:rFonts w:hAnsi="宋体" w:cs="宋体"/>
          <w:b/>
          <w:color w:val="auto"/>
          <w:sz w:val="24"/>
        </w:rPr>
      </w:pPr>
    </w:p>
    <w:p w14:paraId="0E77148E">
      <w:pPr>
        <w:pStyle w:val="17"/>
        <w:ind w:left="482" w:hanging="482"/>
        <w:rPr>
          <w:rFonts w:hAnsi="宋体" w:cs="宋体"/>
          <w:b/>
          <w:color w:val="auto"/>
          <w:sz w:val="24"/>
        </w:rPr>
      </w:pPr>
    </w:p>
    <w:p w14:paraId="2E9F8C02">
      <w:pPr>
        <w:pStyle w:val="17"/>
        <w:ind w:left="482" w:hanging="482"/>
        <w:rPr>
          <w:rFonts w:hAnsi="宋体" w:cs="宋体"/>
          <w:b/>
          <w:color w:val="auto"/>
          <w:sz w:val="24"/>
        </w:rPr>
      </w:pPr>
    </w:p>
    <w:p w14:paraId="0D29FF55">
      <w:pPr>
        <w:pStyle w:val="17"/>
        <w:ind w:left="482" w:hanging="482"/>
        <w:rPr>
          <w:rFonts w:hAnsi="宋体" w:cs="宋体"/>
          <w:b/>
          <w:color w:val="auto"/>
          <w:sz w:val="24"/>
        </w:rPr>
      </w:pPr>
    </w:p>
    <w:p w14:paraId="5587FA4D">
      <w:pPr>
        <w:spacing w:line="360" w:lineRule="exact"/>
        <w:rPr>
          <w:rFonts w:ascii="宋体" w:hAnsi="宋体" w:cs="宋体"/>
          <w:b/>
          <w:color w:val="auto"/>
          <w:sz w:val="30"/>
          <w:szCs w:val="30"/>
        </w:rPr>
      </w:pPr>
    </w:p>
    <w:p w14:paraId="7C6FF314">
      <w:pPr>
        <w:spacing w:before="156" w:beforeLines="50" w:after="156" w:afterLines="50" w:line="440" w:lineRule="exact"/>
        <w:rPr>
          <w:rFonts w:ascii="宋体" w:hAnsi="宋体" w:cs="宋体"/>
          <w:b/>
          <w:color w:val="auto"/>
          <w:sz w:val="32"/>
          <w:szCs w:val="32"/>
        </w:rPr>
      </w:pPr>
    </w:p>
    <w:p w14:paraId="5EC50B3A">
      <w:pPr>
        <w:pStyle w:val="26"/>
        <w:ind w:firstLine="480"/>
        <w:rPr>
          <w:color w:val="auto"/>
        </w:rPr>
      </w:pPr>
    </w:p>
    <w:p w14:paraId="7CC621EE">
      <w:pPr>
        <w:pStyle w:val="17"/>
        <w:ind w:left="493" w:leftChars="235" w:firstLine="643" w:firstLineChars="200"/>
        <w:jc w:val="both"/>
        <w:outlineLvl w:val="0"/>
        <w:rPr>
          <w:rFonts w:hint="eastAsia"/>
        </w:rPr>
      </w:pPr>
      <w:bookmarkStart w:id="228" w:name="_Toc6794"/>
      <w:r>
        <w:rPr>
          <w:rFonts w:hint="eastAsia" w:ascii="宋体" w:hAnsi="宋体" w:cs="宋体"/>
          <w:b/>
          <w:color w:val="auto"/>
          <w:sz w:val="32"/>
          <w:szCs w:val="32"/>
        </w:rPr>
        <w:t xml:space="preserve">第七章 </w:t>
      </w:r>
      <w:bookmarkEnd w:id="0"/>
      <w:bookmarkEnd w:id="1"/>
      <w:bookmarkEnd w:id="2"/>
      <w:bookmarkEnd w:id="3"/>
      <w:r>
        <w:rPr>
          <w:rFonts w:hint="eastAsia" w:ascii="宋体" w:hAnsi="宋体" w:cs="宋体"/>
          <w:b/>
          <w:sz w:val="32"/>
          <w:szCs w:val="32"/>
        </w:rPr>
        <w:t>采购单位、采购代理机构对本招标文件的确认</w:t>
      </w:r>
      <w:bookmarkEnd w:id="22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6DB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9580" w:type="dxa"/>
          </w:tcPr>
          <w:p w14:paraId="72FD3FCF">
            <w:pPr>
              <w:adjustRightInd w:val="0"/>
              <w:snapToGrid w:val="0"/>
              <w:spacing w:line="700" w:lineRule="exact"/>
              <w:jc w:val="left"/>
              <w:rPr>
                <w:rFonts w:hint="eastAsia" w:ascii="宋体" w:hAnsi="宋体" w:cs="宋体"/>
                <w:sz w:val="30"/>
              </w:rPr>
            </w:pPr>
          </w:p>
          <w:p w14:paraId="09CFD9AE">
            <w:pPr>
              <w:spacing w:line="600" w:lineRule="exact"/>
              <w:ind w:firstLine="560" w:firstLineChars="200"/>
              <w:rPr>
                <w:rFonts w:hint="eastAsia" w:ascii="宋体" w:cs="宋体"/>
                <w:color w:val="000000"/>
                <w:sz w:val="28"/>
                <w:szCs w:val="28"/>
                <w:highlight w:val="none"/>
              </w:rPr>
            </w:pPr>
            <w:r>
              <w:rPr>
                <w:rFonts w:hint="eastAsia" w:ascii="宋体" w:cs="宋体"/>
                <w:color w:val="000000"/>
                <w:sz w:val="28"/>
                <w:szCs w:val="28"/>
                <w:highlight w:val="none"/>
              </w:rPr>
              <w:t>我单位</w:t>
            </w:r>
            <w:r>
              <w:rPr>
                <w:rFonts w:hint="eastAsia" w:ascii="宋体" w:hAnsi="Times New Roman" w:cs="宋体"/>
                <w:color w:val="000000"/>
                <w:sz w:val="28"/>
                <w:szCs w:val="28"/>
                <w:highlight w:val="none"/>
              </w:rPr>
              <w:t>对</w:t>
            </w:r>
            <w:r>
              <w:rPr>
                <w:rFonts w:hint="eastAsia" w:ascii="宋体" w:hAnsi="Times New Roman" w:cs="宋体"/>
                <w:color w:val="000000"/>
                <w:sz w:val="28"/>
                <w:szCs w:val="28"/>
                <w:highlight w:val="none"/>
                <w:u w:val="single" w:color="auto"/>
                <w:lang w:eastAsia="zh-CN"/>
              </w:rPr>
              <w:t>滁州开放大学关于省校建校45周年宣传素材制作项目</w:t>
            </w:r>
            <w:r>
              <w:rPr>
                <w:rFonts w:hint="eastAsia" w:ascii="宋体" w:cs="宋体"/>
                <w:color w:val="000000"/>
                <w:sz w:val="28"/>
                <w:szCs w:val="28"/>
                <w:highlight w:val="none"/>
              </w:rPr>
              <w:t>招标文件进行确认。</w:t>
            </w:r>
          </w:p>
          <w:p w14:paraId="491B1C8A">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采购单位：滁州开放大学</w:t>
            </w:r>
          </w:p>
          <w:p w14:paraId="37C628EC">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经 办 人：</w:t>
            </w:r>
            <w:r>
              <w:rPr>
                <w:rFonts w:hint="eastAsia" w:ascii="宋体" w:hAnsi="宋体" w:cs="宋体"/>
                <w:sz w:val="28"/>
                <w:szCs w:val="36"/>
                <w:lang w:val="en-US" w:eastAsia="zh-CN"/>
              </w:rPr>
              <w:t>徐老师</w:t>
            </w:r>
          </w:p>
          <w:p w14:paraId="74B6DAEF">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联系电话：</w:t>
            </w:r>
            <w:r>
              <w:rPr>
                <w:rFonts w:hint="eastAsia" w:ascii="宋体" w:hAnsi="宋体" w:cs="宋体"/>
                <w:sz w:val="28"/>
                <w:szCs w:val="36"/>
                <w:lang w:val="en-US" w:eastAsia="zh-CN"/>
              </w:rPr>
              <w:t>0550-</w:t>
            </w:r>
            <w:r>
              <w:rPr>
                <w:rFonts w:hint="eastAsia" w:ascii="宋体" w:hAnsi="宋体" w:cs="宋体"/>
                <w:sz w:val="28"/>
                <w:szCs w:val="36"/>
              </w:rPr>
              <w:t>3025789</w:t>
            </w:r>
          </w:p>
          <w:p w14:paraId="640D0F0A">
            <w:pPr>
              <w:spacing w:line="500" w:lineRule="exact"/>
              <w:ind w:firstLine="300" w:firstLineChars="100"/>
              <w:rPr>
                <w:rFonts w:hint="eastAsia" w:ascii="宋体" w:hAnsi="宋体"/>
                <w:sz w:val="30"/>
              </w:rPr>
            </w:pPr>
          </w:p>
          <w:p w14:paraId="62308581">
            <w:pPr>
              <w:spacing w:line="700" w:lineRule="exact"/>
              <w:jc w:val="left"/>
              <w:rPr>
                <w:rFonts w:hint="eastAsia" w:ascii="宋体" w:hAnsi="宋体" w:cs="宋体"/>
              </w:rPr>
            </w:pPr>
            <w:r>
              <w:rPr>
                <w:rFonts w:hint="eastAsia" w:ascii="宋体" w:hAnsi="宋体" w:cs="宋体"/>
              </w:rPr>
              <w:t xml:space="preserve">                                                  </w:t>
            </w:r>
          </w:p>
          <w:p w14:paraId="7F95B0C8">
            <w:pPr>
              <w:spacing w:line="700" w:lineRule="exact"/>
              <w:ind w:firstLine="560" w:firstLineChars="200"/>
              <w:jc w:val="right"/>
              <w:rPr>
                <w:rFonts w:hint="eastAsia" w:ascii="宋体" w:hAnsi="宋体" w:cs="宋体"/>
                <w:sz w:val="28"/>
                <w:szCs w:val="36"/>
              </w:rPr>
            </w:pPr>
            <w:r>
              <w:rPr>
                <w:rFonts w:hint="eastAsia" w:ascii="宋体" w:hAnsi="宋体" w:cs="宋体"/>
                <w:sz w:val="28"/>
                <w:szCs w:val="36"/>
              </w:rPr>
              <w:t>（单位盖章）</w:t>
            </w:r>
          </w:p>
          <w:p w14:paraId="596F3781">
            <w:pPr>
              <w:spacing w:line="700" w:lineRule="exact"/>
              <w:ind w:firstLine="560" w:firstLineChars="200"/>
              <w:jc w:val="right"/>
              <w:rPr>
                <w:rFonts w:hint="eastAsia" w:ascii="宋体" w:hAnsi="宋体" w:cs="宋体"/>
                <w:sz w:val="30"/>
              </w:rPr>
            </w:pPr>
            <w:r>
              <w:rPr>
                <w:rFonts w:hint="eastAsia" w:ascii="宋体" w:hAnsi="宋体" w:cs="宋体"/>
                <w:sz w:val="28"/>
                <w:szCs w:val="36"/>
              </w:rPr>
              <w:t xml:space="preserve">            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9</w:t>
            </w:r>
            <w:r>
              <w:rPr>
                <w:rFonts w:hint="eastAsia" w:ascii="宋体" w:hAnsi="宋体" w:cs="宋体"/>
                <w:sz w:val="28"/>
                <w:szCs w:val="36"/>
              </w:rPr>
              <w:t>月</w:t>
            </w:r>
          </w:p>
        </w:tc>
      </w:tr>
      <w:tr w14:paraId="5DFA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1" w:hRule="atLeast"/>
          <w:jc w:val="center"/>
        </w:trPr>
        <w:tc>
          <w:tcPr>
            <w:tcW w:w="9580" w:type="dxa"/>
          </w:tcPr>
          <w:p w14:paraId="74D91896">
            <w:pPr>
              <w:spacing w:line="700" w:lineRule="exact"/>
              <w:ind w:firstLine="600" w:firstLineChars="200"/>
              <w:jc w:val="left"/>
              <w:rPr>
                <w:rFonts w:hint="eastAsia" w:ascii="宋体" w:hAnsi="宋体" w:cs="宋体"/>
                <w:sz w:val="30"/>
              </w:rPr>
            </w:pPr>
          </w:p>
          <w:p w14:paraId="79D2ED6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采购代理机构：安徽广宇项目管理有限公司</w:t>
            </w:r>
          </w:p>
          <w:p w14:paraId="0B0CCD3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联系人：鲁晓燕</w:t>
            </w:r>
          </w:p>
          <w:p w14:paraId="1EEF225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联系方式：0550-3908889 、18055012300</w:t>
            </w:r>
          </w:p>
          <w:p w14:paraId="3E2DB0F7">
            <w:pPr>
              <w:spacing w:line="700" w:lineRule="exact"/>
              <w:ind w:firstLine="280" w:firstLineChars="100"/>
              <w:jc w:val="left"/>
              <w:rPr>
                <w:rFonts w:hint="eastAsia" w:ascii="宋体" w:hAnsi="宋体" w:cs="宋体"/>
              </w:rPr>
            </w:pPr>
            <w:r>
              <w:rPr>
                <w:rFonts w:hint="eastAsia" w:ascii="宋体" w:hAnsi="宋体" w:cs="宋体" w:eastAsiaTheme="minorEastAsia"/>
                <w:kern w:val="2"/>
                <w:sz w:val="28"/>
                <w:szCs w:val="36"/>
                <w:lang w:val="en-US" w:eastAsia="zh-CN" w:bidi="ar-SA"/>
              </w:rPr>
              <w:t xml:space="preserve">                               </w:t>
            </w:r>
            <w:r>
              <w:rPr>
                <w:rFonts w:hint="eastAsia" w:ascii="宋体" w:hAnsi="宋体" w:cs="宋体"/>
              </w:rPr>
              <w:t xml:space="preserve">   </w:t>
            </w:r>
          </w:p>
          <w:p w14:paraId="3AF5D51D">
            <w:pPr>
              <w:spacing w:line="700" w:lineRule="exact"/>
              <w:ind w:firstLine="210" w:firstLineChars="100"/>
              <w:jc w:val="right"/>
              <w:rPr>
                <w:rFonts w:hint="eastAsia" w:ascii="宋体" w:hAnsi="宋体" w:eastAsia="宋体" w:cs="宋体"/>
                <w:kern w:val="2"/>
                <w:sz w:val="28"/>
                <w:szCs w:val="36"/>
                <w:lang w:val="en-US" w:eastAsia="zh-CN" w:bidi="ar-SA"/>
              </w:rPr>
            </w:pPr>
            <w:r>
              <w:rPr>
                <w:rFonts w:hint="eastAsia" w:ascii="宋体" w:hAnsi="宋体" w:cs="宋体"/>
              </w:rPr>
              <w:t xml:space="preserve">                                            </w:t>
            </w:r>
            <w:r>
              <w:rPr>
                <w:rFonts w:hint="eastAsia" w:ascii="宋体" w:hAnsi="宋体" w:eastAsia="宋体" w:cs="宋体"/>
                <w:kern w:val="2"/>
                <w:sz w:val="28"/>
                <w:szCs w:val="36"/>
                <w:lang w:val="en-US" w:eastAsia="zh-CN" w:bidi="ar-SA"/>
              </w:rPr>
              <w:t xml:space="preserve">   （单位盖章）</w:t>
            </w:r>
          </w:p>
          <w:p w14:paraId="43FE0D5E">
            <w:pPr>
              <w:spacing w:line="700" w:lineRule="exact"/>
              <w:ind w:firstLine="4900" w:firstLineChars="1750"/>
              <w:jc w:val="right"/>
              <w:rPr>
                <w:rFonts w:hint="eastAsia" w:ascii="宋体" w:hAnsi="宋体" w:cs="宋体"/>
                <w:sz w:val="30"/>
              </w:rPr>
            </w:pPr>
            <w:r>
              <w:rPr>
                <w:rFonts w:hint="eastAsia" w:ascii="宋体" w:hAnsi="宋体" w:eastAsia="宋体" w:cs="宋体"/>
                <w:kern w:val="2"/>
                <w:sz w:val="28"/>
                <w:szCs w:val="36"/>
                <w:lang w:val="en-US" w:eastAsia="zh-CN" w:bidi="ar-SA"/>
              </w:rPr>
              <w:t xml:space="preserve">              2024年9月</w:t>
            </w:r>
          </w:p>
        </w:tc>
      </w:tr>
    </w:tbl>
    <w:p w14:paraId="232D1133">
      <w:pPr>
        <w:spacing w:line="300" w:lineRule="exact"/>
        <w:rPr>
          <w:rFonts w:hint="eastAsia" w:ascii="宋体" w:hAnsi="宋体" w:cs="宋体"/>
          <w:b/>
          <w:sz w:val="24"/>
          <w:szCs w:val="24"/>
          <w:highlight w:val="none"/>
        </w:rPr>
      </w:pPr>
    </w:p>
    <w:p w14:paraId="5D7CE377">
      <w:pPr>
        <w:rPr>
          <w:color w:val="auto"/>
        </w:rPr>
      </w:pPr>
    </w:p>
    <w:sectPr>
      <w:footerReference r:id="rId10" w:type="first"/>
      <w:footerReference r:id="rId9" w:type="default"/>
      <w:pgSz w:w="11906" w:h="16838"/>
      <w:pgMar w:top="794" w:right="1361" w:bottom="680" w:left="1361" w:header="567" w:footer="567" w:gutter="0"/>
      <w:pgNumType w:start="4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FFF">
    <w:pPr>
      <w:pStyle w:val="15"/>
      <w:rPr>
        <w:rStyle w:val="24"/>
      </w:rPr>
    </w:pPr>
  </w:p>
  <w:p w14:paraId="18B818EA">
    <w:pPr>
      <w:pStyle w:val="15"/>
      <w:ind w:right="360"/>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50E2">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4BD4">
    <w:pPr>
      <w:pStyle w:val="15"/>
      <w:rPr>
        <w:rStyle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B2EB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FB2EB2">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57F1202C">
    <w:pPr>
      <w:pStyle w:val="15"/>
      <w:ind w:right="360"/>
      <w:jc w:val="center"/>
      <w:rPr>
        <w:kern w:val="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99F3">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87F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98387F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1680">
    <w:pPr>
      <w:pStyle w:val="15"/>
      <w:tabs>
        <w:tab w:val="center" w:pos="458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902C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8902C9">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2544">
    <w:pPr>
      <w:pStyle w:val="15"/>
      <w:rPr>
        <w:rStyle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1EBEB">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81EBEB">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04969C14">
    <w:pPr>
      <w:pStyle w:val="15"/>
      <w:ind w:right="360"/>
      <w:jc w:val="center"/>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8ECD">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3331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D3331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6D9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BF81D"/>
    <w:multiLevelType w:val="singleLevel"/>
    <w:tmpl w:val="1C9BF81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2MjFjNmYyYjUyZTQxY2FhYmI5MzAzMzBiNzYxNTkifQ=="/>
  </w:docVars>
  <w:rsids>
    <w:rsidRoot w:val="001F5C5A"/>
    <w:rsid w:val="000025D6"/>
    <w:rsid w:val="000056C9"/>
    <w:rsid w:val="0000667C"/>
    <w:rsid w:val="00023101"/>
    <w:rsid w:val="000509A3"/>
    <w:rsid w:val="00050A4C"/>
    <w:rsid w:val="000B33C1"/>
    <w:rsid w:val="000D38B7"/>
    <w:rsid w:val="00106CD4"/>
    <w:rsid w:val="001311EB"/>
    <w:rsid w:val="00157423"/>
    <w:rsid w:val="00164C26"/>
    <w:rsid w:val="00186E78"/>
    <w:rsid w:val="001C40F9"/>
    <w:rsid w:val="001C47F9"/>
    <w:rsid w:val="001D1EB3"/>
    <w:rsid w:val="001F5C5A"/>
    <w:rsid w:val="00250A54"/>
    <w:rsid w:val="00275871"/>
    <w:rsid w:val="00284916"/>
    <w:rsid w:val="00291F52"/>
    <w:rsid w:val="002A0BB3"/>
    <w:rsid w:val="002B63DE"/>
    <w:rsid w:val="002C5067"/>
    <w:rsid w:val="002E3141"/>
    <w:rsid w:val="002E4AC1"/>
    <w:rsid w:val="00332FDB"/>
    <w:rsid w:val="00346224"/>
    <w:rsid w:val="003563D5"/>
    <w:rsid w:val="00361404"/>
    <w:rsid w:val="0037329C"/>
    <w:rsid w:val="00383332"/>
    <w:rsid w:val="003A1433"/>
    <w:rsid w:val="003B1DA9"/>
    <w:rsid w:val="0042395E"/>
    <w:rsid w:val="004356E1"/>
    <w:rsid w:val="00441793"/>
    <w:rsid w:val="00442B25"/>
    <w:rsid w:val="004658DC"/>
    <w:rsid w:val="00481CF8"/>
    <w:rsid w:val="004874D5"/>
    <w:rsid w:val="004A445C"/>
    <w:rsid w:val="004C1C8C"/>
    <w:rsid w:val="004C6960"/>
    <w:rsid w:val="004D0460"/>
    <w:rsid w:val="004E4230"/>
    <w:rsid w:val="004E509F"/>
    <w:rsid w:val="004F6579"/>
    <w:rsid w:val="0050445D"/>
    <w:rsid w:val="00527CFF"/>
    <w:rsid w:val="00531BEA"/>
    <w:rsid w:val="00541A03"/>
    <w:rsid w:val="00576C58"/>
    <w:rsid w:val="00584D8F"/>
    <w:rsid w:val="005A2D64"/>
    <w:rsid w:val="005C3526"/>
    <w:rsid w:val="005E0AA6"/>
    <w:rsid w:val="005F076B"/>
    <w:rsid w:val="005F481F"/>
    <w:rsid w:val="00654E32"/>
    <w:rsid w:val="00656A09"/>
    <w:rsid w:val="00657198"/>
    <w:rsid w:val="006658CC"/>
    <w:rsid w:val="006911F9"/>
    <w:rsid w:val="006D6859"/>
    <w:rsid w:val="006D7798"/>
    <w:rsid w:val="00700EBD"/>
    <w:rsid w:val="00711E07"/>
    <w:rsid w:val="007355E9"/>
    <w:rsid w:val="00741AE7"/>
    <w:rsid w:val="0075194C"/>
    <w:rsid w:val="007635A1"/>
    <w:rsid w:val="00784667"/>
    <w:rsid w:val="00792400"/>
    <w:rsid w:val="00792F2E"/>
    <w:rsid w:val="007934F7"/>
    <w:rsid w:val="007C16BB"/>
    <w:rsid w:val="007E6596"/>
    <w:rsid w:val="007F78FF"/>
    <w:rsid w:val="008042A3"/>
    <w:rsid w:val="00804CF4"/>
    <w:rsid w:val="00816543"/>
    <w:rsid w:val="008803A7"/>
    <w:rsid w:val="008944AC"/>
    <w:rsid w:val="00895909"/>
    <w:rsid w:val="008B73C2"/>
    <w:rsid w:val="008C3BB5"/>
    <w:rsid w:val="008C706E"/>
    <w:rsid w:val="008E2027"/>
    <w:rsid w:val="009070DA"/>
    <w:rsid w:val="009163E5"/>
    <w:rsid w:val="00917B4E"/>
    <w:rsid w:val="009675C4"/>
    <w:rsid w:val="009A1B27"/>
    <w:rsid w:val="009A7C68"/>
    <w:rsid w:val="009E59FD"/>
    <w:rsid w:val="00A4031B"/>
    <w:rsid w:val="00A434B5"/>
    <w:rsid w:val="00A464E0"/>
    <w:rsid w:val="00A60C5E"/>
    <w:rsid w:val="00A8764C"/>
    <w:rsid w:val="00A91934"/>
    <w:rsid w:val="00AA5037"/>
    <w:rsid w:val="00AB3196"/>
    <w:rsid w:val="00AC5B50"/>
    <w:rsid w:val="00AD1A85"/>
    <w:rsid w:val="00AE0F82"/>
    <w:rsid w:val="00AF1302"/>
    <w:rsid w:val="00B0507A"/>
    <w:rsid w:val="00B1444F"/>
    <w:rsid w:val="00B16865"/>
    <w:rsid w:val="00B4636B"/>
    <w:rsid w:val="00B46918"/>
    <w:rsid w:val="00B758FC"/>
    <w:rsid w:val="00B77843"/>
    <w:rsid w:val="00BF706B"/>
    <w:rsid w:val="00C05FD4"/>
    <w:rsid w:val="00C22EF5"/>
    <w:rsid w:val="00C25025"/>
    <w:rsid w:val="00C25A86"/>
    <w:rsid w:val="00C36B5B"/>
    <w:rsid w:val="00C44890"/>
    <w:rsid w:val="00C46560"/>
    <w:rsid w:val="00C970C0"/>
    <w:rsid w:val="00CB1EA2"/>
    <w:rsid w:val="00CB1FA7"/>
    <w:rsid w:val="00D24FF0"/>
    <w:rsid w:val="00D50C93"/>
    <w:rsid w:val="00D52FE2"/>
    <w:rsid w:val="00D743B5"/>
    <w:rsid w:val="00D774AC"/>
    <w:rsid w:val="00D9740F"/>
    <w:rsid w:val="00DC60C9"/>
    <w:rsid w:val="00DE515D"/>
    <w:rsid w:val="00E06D16"/>
    <w:rsid w:val="00E13486"/>
    <w:rsid w:val="00E23379"/>
    <w:rsid w:val="00E54E4A"/>
    <w:rsid w:val="00ED2B03"/>
    <w:rsid w:val="00EF466B"/>
    <w:rsid w:val="00F01948"/>
    <w:rsid w:val="00F5669B"/>
    <w:rsid w:val="00FF21A0"/>
    <w:rsid w:val="010351AA"/>
    <w:rsid w:val="010A29DC"/>
    <w:rsid w:val="01176EA7"/>
    <w:rsid w:val="01284C10"/>
    <w:rsid w:val="01311D17"/>
    <w:rsid w:val="01396E1E"/>
    <w:rsid w:val="014F6641"/>
    <w:rsid w:val="01505F15"/>
    <w:rsid w:val="016043AA"/>
    <w:rsid w:val="016245C6"/>
    <w:rsid w:val="0167398B"/>
    <w:rsid w:val="017460A8"/>
    <w:rsid w:val="01787946"/>
    <w:rsid w:val="019B1886"/>
    <w:rsid w:val="01A00C4B"/>
    <w:rsid w:val="01A52705"/>
    <w:rsid w:val="01A93FA3"/>
    <w:rsid w:val="01B3097E"/>
    <w:rsid w:val="01E90844"/>
    <w:rsid w:val="01E96293"/>
    <w:rsid w:val="01EF3980"/>
    <w:rsid w:val="01F61A43"/>
    <w:rsid w:val="021E71A1"/>
    <w:rsid w:val="022C2C17"/>
    <w:rsid w:val="02315D47"/>
    <w:rsid w:val="023A4C78"/>
    <w:rsid w:val="023D0B8F"/>
    <w:rsid w:val="02497534"/>
    <w:rsid w:val="026305F6"/>
    <w:rsid w:val="02725307"/>
    <w:rsid w:val="027D0F8C"/>
    <w:rsid w:val="028A06F8"/>
    <w:rsid w:val="02902A6D"/>
    <w:rsid w:val="02A1111E"/>
    <w:rsid w:val="02A429BD"/>
    <w:rsid w:val="02AE7397"/>
    <w:rsid w:val="02B01361"/>
    <w:rsid w:val="02D7069C"/>
    <w:rsid w:val="02DD1BF9"/>
    <w:rsid w:val="02F2197A"/>
    <w:rsid w:val="03065425"/>
    <w:rsid w:val="03086AA8"/>
    <w:rsid w:val="0313544C"/>
    <w:rsid w:val="031418F0"/>
    <w:rsid w:val="03200295"/>
    <w:rsid w:val="0328383F"/>
    <w:rsid w:val="036B7036"/>
    <w:rsid w:val="037759DB"/>
    <w:rsid w:val="03800D34"/>
    <w:rsid w:val="038A3960"/>
    <w:rsid w:val="039B3DC0"/>
    <w:rsid w:val="039B791C"/>
    <w:rsid w:val="03AA5DB1"/>
    <w:rsid w:val="03D42E2E"/>
    <w:rsid w:val="03DB41BC"/>
    <w:rsid w:val="03EF5EB9"/>
    <w:rsid w:val="03EF7C67"/>
    <w:rsid w:val="04001E75"/>
    <w:rsid w:val="04162A0C"/>
    <w:rsid w:val="04257E51"/>
    <w:rsid w:val="042B5143"/>
    <w:rsid w:val="0433224A"/>
    <w:rsid w:val="043F474B"/>
    <w:rsid w:val="04627DB9"/>
    <w:rsid w:val="04762137"/>
    <w:rsid w:val="047649DE"/>
    <w:rsid w:val="048F3572"/>
    <w:rsid w:val="0490144A"/>
    <w:rsid w:val="04A96068"/>
    <w:rsid w:val="04AD39E7"/>
    <w:rsid w:val="04B05649"/>
    <w:rsid w:val="04BA0275"/>
    <w:rsid w:val="04C64E6C"/>
    <w:rsid w:val="04C8172B"/>
    <w:rsid w:val="04D74983"/>
    <w:rsid w:val="04E23328"/>
    <w:rsid w:val="04FD0162"/>
    <w:rsid w:val="04FE466B"/>
    <w:rsid w:val="050339CA"/>
    <w:rsid w:val="05257DE5"/>
    <w:rsid w:val="05281683"/>
    <w:rsid w:val="052B1173"/>
    <w:rsid w:val="053115AB"/>
    <w:rsid w:val="053578FC"/>
    <w:rsid w:val="05467D5B"/>
    <w:rsid w:val="05494888"/>
    <w:rsid w:val="054B35C3"/>
    <w:rsid w:val="054B711F"/>
    <w:rsid w:val="054D2E98"/>
    <w:rsid w:val="05535400"/>
    <w:rsid w:val="056703FD"/>
    <w:rsid w:val="057448C8"/>
    <w:rsid w:val="05795BF4"/>
    <w:rsid w:val="057C34A9"/>
    <w:rsid w:val="05892EA8"/>
    <w:rsid w:val="05942874"/>
    <w:rsid w:val="05A827C4"/>
    <w:rsid w:val="05B178CA"/>
    <w:rsid w:val="05B72A07"/>
    <w:rsid w:val="05D435B9"/>
    <w:rsid w:val="05E530D0"/>
    <w:rsid w:val="05F96B7B"/>
    <w:rsid w:val="05FE0636"/>
    <w:rsid w:val="060A2B37"/>
    <w:rsid w:val="06113EC5"/>
    <w:rsid w:val="06140688"/>
    <w:rsid w:val="06141C07"/>
    <w:rsid w:val="06147E59"/>
    <w:rsid w:val="06214716"/>
    <w:rsid w:val="06361B7E"/>
    <w:rsid w:val="063876A4"/>
    <w:rsid w:val="0639166E"/>
    <w:rsid w:val="0671705A"/>
    <w:rsid w:val="06930D7E"/>
    <w:rsid w:val="0696086E"/>
    <w:rsid w:val="06982838"/>
    <w:rsid w:val="069D39AB"/>
    <w:rsid w:val="06AC0092"/>
    <w:rsid w:val="06B07B82"/>
    <w:rsid w:val="06B34F7C"/>
    <w:rsid w:val="06BA630B"/>
    <w:rsid w:val="06C90C44"/>
    <w:rsid w:val="06E710CA"/>
    <w:rsid w:val="06F37A6F"/>
    <w:rsid w:val="06F832D7"/>
    <w:rsid w:val="06F86E33"/>
    <w:rsid w:val="070457D8"/>
    <w:rsid w:val="07697D31"/>
    <w:rsid w:val="07723089"/>
    <w:rsid w:val="07746E01"/>
    <w:rsid w:val="078608E3"/>
    <w:rsid w:val="078E76CF"/>
    <w:rsid w:val="079C0106"/>
    <w:rsid w:val="07A82607"/>
    <w:rsid w:val="07B0770E"/>
    <w:rsid w:val="07DB28A2"/>
    <w:rsid w:val="07E775D3"/>
    <w:rsid w:val="07E86EA8"/>
    <w:rsid w:val="08074D9A"/>
    <w:rsid w:val="08076EE0"/>
    <w:rsid w:val="0817778D"/>
    <w:rsid w:val="082E5202"/>
    <w:rsid w:val="08333C94"/>
    <w:rsid w:val="0834033F"/>
    <w:rsid w:val="08514A4D"/>
    <w:rsid w:val="0858402D"/>
    <w:rsid w:val="085F360E"/>
    <w:rsid w:val="08874912"/>
    <w:rsid w:val="089F1C5C"/>
    <w:rsid w:val="08A234FA"/>
    <w:rsid w:val="08BC0A60"/>
    <w:rsid w:val="08E41D65"/>
    <w:rsid w:val="08E6788B"/>
    <w:rsid w:val="08F63846"/>
    <w:rsid w:val="09000221"/>
    <w:rsid w:val="090E293E"/>
    <w:rsid w:val="09132CD5"/>
    <w:rsid w:val="091C09A3"/>
    <w:rsid w:val="09297778"/>
    <w:rsid w:val="09304FAA"/>
    <w:rsid w:val="09440A55"/>
    <w:rsid w:val="09524F20"/>
    <w:rsid w:val="096D3B08"/>
    <w:rsid w:val="096E7880"/>
    <w:rsid w:val="098F7F23"/>
    <w:rsid w:val="09B01EB9"/>
    <w:rsid w:val="09B07E99"/>
    <w:rsid w:val="09B2776D"/>
    <w:rsid w:val="09D771D4"/>
    <w:rsid w:val="09E55D95"/>
    <w:rsid w:val="09E638BB"/>
    <w:rsid w:val="09FC4E8C"/>
    <w:rsid w:val="0A075AEF"/>
    <w:rsid w:val="0A222B45"/>
    <w:rsid w:val="0A382368"/>
    <w:rsid w:val="0A3B3C06"/>
    <w:rsid w:val="0A40121D"/>
    <w:rsid w:val="0A466107"/>
    <w:rsid w:val="0A4D7496"/>
    <w:rsid w:val="0A64315D"/>
    <w:rsid w:val="0A656ED5"/>
    <w:rsid w:val="0A6C2012"/>
    <w:rsid w:val="0A7315F2"/>
    <w:rsid w:val="0A7669ED"/>
    <w:rsid w:val="0A7D7D7B"/>
    <w:rsid w:val="0AA9231F"/>
    <w:rsid w:val="0ABE2142"/>
    <w:rsid w:val="0AC0235E"/>
    <w:rsid w:val="0AC43BFC"/>
    <w:rsid w:val="0B1D155E"/>
    <w:rsid w:val="0B21104E"/>
    <w:rsid w:val="0B420FC5"/>
    <w:rsid w:val="0B536D2E"/>
    <w:rsid w:val="0B5C2086"/>
    <w:rsid w:val="0B6158EF"/>
    <w:rsid w:val="0B64718D"/>
    <w:rsid w:val="0B653E82"/>
    <w:rsid w:val="0B6D4294"/>
    <w:rsid w:val="0B867103"/>
    <w:rsid w:val="0BA17A99"/>
    <w:rsid w:val="0BA23811"/>
    <w:rsid w:val="0BB377CC"/>
    <w:rsid w:val="0BCA6FF4"/>
    <w:rsid w:val="0BCF0AAA"/>
    <w:rsid w:val="0BEF4CA9"/>
    <w:rsid w:val="0BF00A21"/>
    <w:rsid w:val="0C0149DC"/>
    <w:rsid w:val="0C0701CD"/>
    <w:rsid w:val="0C0A1165"/>
    <w:rsid w:val="0C18633A"/>
    <w:rsid w:val="0C30706F"/>
    <w:rsid w:val="0C37664F"/>
    <w:rsid w:val="0C3923C8"/>
    <w:rsid w:val="0C601702"/>
    <w:rsid w:val="0C6649C2"/>
    <w:rsid w:val="0C6A432F"/>
    <w:rsid w:val="0C71390F"/>
    <w:rsid w:val="0C727839"/>
    <w:rsid w:val="0C8A2C23"/>
    <w:rsid w:val="0C931AD8"/>
    <w:rsid w:val="0C965124"/>
    <w:rsid w:val="0C985340"/>
    <w:rsid w:val="0CA830A9"/>
    <w:rsid w:val="0CAC2B9A"/>
    <w:rsid w:val="0CAF61E6"/>
    <w:rsid w:val="0CC25F19"/>
    <w:rsid w:val="0CCE0D62"/>
    <w:rsid w:val="0CCF6888"/>
    <w:rsid w:val="0CDD0FA5"/>
    <w:rsid w:val="0CE2480D"/>
    <w:rsid w:val="0CE75980"/>
    <w:rsid w:val="0CF87B8D"/>
    <w:rsid w:val="0D246BD4"/>
    <w:rsid w:val="0D2564A8"/>
    <w:rsid w:val="0D295F98"/>
    <w:rsid w:val="0D3627FC"/>
    <w:rsid w:val="0D374B59"/>
    <w:rsid w:val="0D3A63F7"/>
    <w:rsid w:val="0D501777"/>
    <w:rsid w:val="0D613984"/>
    <w:rsid w:val="0D782A7C"/>
    <w:rsid w:val="0D9C676A"/>
    <w:rsid w:val="0DB461AA"/>
    <w:rsid w:val="0DB53CD0"/>
    <w:rsid w:val="0DBF4B4E"/>
    <w:rsid w:val="0DDA3736"/>
    <w:rsid w:val="0DE63E89"/>
    <w:rsid w:val="0DF20A80"/>
    <w:rsid w:val="0E083E00"/>
    <w:rsid w:val="0E2055ED"/>
    <w:rsid w:val="0E370B89"/>
    <w:rsid w:val="0E3A5F83"/>
    <w:rsid w:val="0E426279"/>
    <w:rsid w:val="0E42772B"/>
    <w:rsid w:val="0E4F7C80"/>
    <w:rsid w:val="0E5232CD"/>
    <w:rsid w:val="0E572FD9"/>
    <w:rsid w:val="0E574D87"/>
    <w:rsid w:val="0E6059EA"/>
    <w:rsid w:val="0E8714AA"/>
    <w:rsid w:val="0E9658AF"/>
    <w:rsid w:val="0EA16002"/>
    <w:rsid w:val="0EA7186A"/>
    <w:rsid w:val="0EB0311C"/>
    <w:rsid w:val="0EB21FBD"/>
    <w:rsid w:val="0EB421D9"/>
    <w:rsid w:val="0EC662EF"/>
    <w:rsid w:val="0ECC12D1"/>
    <w:rsid w:val="0EE83C31"/>
    <w:rsid w:val="0F0740B7"/>
    <w:rsid w:val="0F0942D3"/>
    <w:rsid w:val="0F130CAE"/>
    <w:rsid w:val="0F135152"/>
    <w:rsid w:val="0F1A64E0"/>
    <w:rsid w:val="0F2A5FF8"/>
    <w:rsid w:val="0F342447"/>
    <w:rsid w:val="0F3C118A"/>
    <w:rsid w:val="0F420034"/>
    <w:rsid w:val="0F4277E5"/>
    <w:rsid w:val="0F44530B"/>
    <w:rsid w:val="0F5A68DD"/>
    <w:rsid w:val="0F5F3EF3"/>
    <w:rsid w:val="0F64150A"/>
    <w:rsid w:val="0F64775C"/>
    <w:rsid w:val="0F735BF1"/>
    <w:rsid w:val="0F7B6853"/>
    <w:rsid w:val="0F8971C2"/>
    <w:rsid w:val="0FA731BA"/>
    <w:rsid w:val="0FB0474F"/>
    <w:rsid w:val="0FC71A98"/>
    <w:rsid w:val="0FD0094D"/>
    <w:rsid w:val="0FDA17CC"/>
    <w:rsid w:val="0FDF3286"/>
    <w:rsid w:val="0FFC3E38"/>
    <w:rsid w:val="100B5E29"/>
    <w:rsid w:val="10125409"/>
    <w:rsid w:val="10196798"/>
    <w:rsid w:val="101F3682"/>
    <w:rsid w:val="10260EB5"/>
    <w:rsid w:val="102962AF"/>
    <w:rsid w:val="104C4A05"/>
    <w:rsid w:val="1054157E"/>
    <w:rsid w:val="1057298B"/>
    <w:rsid w:val="105E41AB"/>
    <w:rsid w:val="107E2A9F"/>
    <w:rsid w:val="107F4121"/>
    <w:rsid w:val="10802373"/>
    <w:rsid w:val="10A1053B"/>
    <w:rsid w:val="10B4201D"/>
    <w:rsid w:val="10BC7123"/>
    <w:rsid w:val="10C06C14"/>
    <w:rsid w:val="10EF12A7"/>
    <w:rsid w:val="10F93ED3"/>
    <w:rsid w:val="10FB40F0"/>
    <w:rsid w:val="1102547E"/>
    <w:rsid w:val="1109680C"/>
    <w:rsid w:val="110F1949"/>
    <w:rsid w:val="1122167C"/>
    <w:rsid w:val="11254CC9"/>
    <w:rsid w:val="11390774"/>
    <w:rsid w:val="114A2981"/>
    <w:rsid w:val="11586E4C"/>
    <w:rsid w:val="115C6273"/>
    <w:rsid w:val="115F642C"/>
    <w:rsid w:val="11691059"/>
    <w:rsid w:val="11717F0E"/>
    <w:rsid w:val="11763776"/>
    <w:rsid w:val="117D68B3"/>
    <w:rsid w:val="117F262B"/>
    <w:rsid w:val="11883AE7"/>
    <w:rsid w:val="118C679D"/>
    <w:rsid w:val="11991213"/>
    <w:rsid w:val="11A2456B"/>
    <w:rsid w:val="11A26319"/>
    <w:rsid w:val="11B00A36"/>
    <w:rsid w:val="11BA5FC0"/>
    <w:rsid w:val="11BB562D"/>
    <w:rsid w:val="11BD75F7"/>
    <w:rsid w:val="11D64215"/>
    <w:rsid w:val="11D87F8D"/>
    <w:rsid w:val="11EB4164"/>
    <w:rsid w:val="121D1E44"/>
    <w:rsid w:val="122356AC"/>
    <w:rsid w:val="12333415"/>
    <w:rsid w:val="12503FC7"/>
    <w:rsid w:val="12614426"/>
    <w:rsid w:val="127B435C"/>
    <w:rsid w:val="128123D2"/>
    <w:rsid w:val="129A3494"/>
    <w:rsid w:val="12A165D1"/>
    <w:rsid w:val="12A83E03"/>
    <w:rsid w:val="12EB3CF0"/>
    <w:rsid w:val="131D034D"/>
    <w:rsid w:val="132F0080"/>
    <w:rsid w:val="133D454B"/>
    <w:rsid w:val="13470108"/>
    <w:rsid w:val="134A4EBA"/>
    <w:rsid w:val="134C0C32"/>
    <w:rsid w:val="1351449B"/>
    <w:rsid w:val="136E2957"/>
    <w:rsid w:val="1379754E"/>
    <w:rsid w:val="13824C83"/>
    <w:rsid w:val="13893C35"/>
    <w:rsid w:val="138A175B"/>
    <w:rsid w:val="13914897"/>
    <w:rsid w:val="139B74C4"/>
    <w:rsid w:val="13A20852"/>
    <w:rsid w:val="13AE5449"/>
    <w:rsid w:val="13D36C5E"/>
    <w:rsid w:val="13DC1FB6"/>
    <w:rsid w:val="13DF5603"/>
    <w:rsid w:val="13E0137B"/>
    <w:rsid w:val="13F35552"/>
    <w:rsid w:val="13FD1F2D"/>
    <w:rsid w:val="140E5EE8"/>
    <w:rsid w:val="14131750"/>
    <w:rsid w:val="14157276"/>
    <w:rsid w:val="141D437D"/>
    <w:rsid w:val="14237BE5"/>
    <w:rsid w:val="14276FAA"/>
    <w:rsid w:val="143040B0"/>
    <w:rsid w:val="14327E28"/>
    <w:rsid w:val="1437543F"/>
    <w:rsid w:val="143F2545"/>
    <w:rsid w:val="1441006B"/>
    <w:rsid w:val="14977C8B"/>
    <w:rsid w:val="14A30D26"/>
    <w:rsid w:val="14A34882"/>
    <w:rsid w:val="14B95E54"/>
    <w:rsid w:val="14BA1BCC"/>
    <w:rsid w:val="14C33176"/>
    <w:rsid w:val="14C667C2"/>
    <w:rsid w:val="14E94405"/>
    <w:rsid w:val="14F450DE"/>
    <w:rsid w:val="14F96B98"/>
    <w:rsid w:val="1509149A"/>
    <w:rsid w:val="15202377"/>
    <w:rsid w:val="15252296"/>
    <w:rsid w:val="152D6842"/>
    <w:rsid w:val="15485429"/>
    <w:rsid w:val="155838BF"/>
    <w:rsid w:val="15597637"/>
    <w:rsid w:val="155E69FB"/>
    <w:rsid w:val="15604521"/>
    <w:rsid w:val="156C736A"/>
    <w:rsid w:val="15747FCD"/>
    <w:rsid w:val="15791A87"/>
    <w:rsid w:val="157B75AD"/>
    <w:rsid w:val="15897F1C"/>
    <w:rsid w:val="158A3C94"/>
    <w:rsid w:val="15C119DB"/>
    <w:rsid w:val="15D102BC"/>
    <w:rsid w:val="15E2587E"/>
    <w:rsid w:val="15E45152"/>
    <w:rsid w:val="1609105D"/>
    <w:rsid w:val="160E6673"/>
    <w:rsid w:val="16273291"/>
    <w:rsid w:val="16473933"/>
    <w:rsid w:val="16492A93"/>
    <w:rsid w:val="164D0F49"/>
    <w:rsid w:val="164E6A70"/>
    <w:rsid w:val="16551BAC"/>
    <w:rsid w:val="165F6ECF"/>
    <w:rsid w:val="1662251B"/>
    <w:rsid w:val="166C5148"/>
    <w:rsid w:val="16714FCD"/>
    <w:rsid w:val="169056B1"/>
    <w:rsid w:val="16985F3D"/>
    <w:rsid w:val="16A3500D"/>
    <w:rsid w:val="16B03286"/>
    <w:rsid w:val="16D056D6"/>
    <w:rsid w:val="16D36F75"/>
    <w:rsid w:val="16D451C7"/>
    <w:rsid w:val="16EA2C3C"/>
    <w:rsid w:val="16F615E1"/>
    <w:rsid w:val="16F77107"/>
    <w:rsid w:val="170A6E3A"/>
    <w:rsid w:val="171657DF"/>
    <w:rsid w:val="17213123"/>
    <w:rsid w:val="17263548"/>
    <w:rsid w:val="17283764"/>
    <w:rsid w:val="172D2B29"/>
    <w:rsid w:val="172F064F"/>
    <w:rsid w:val="17326391"/>
    <w:rsid w:val="17397720"/>
    <w:rsid w:val="175B1444"/>
    <w:rsid w:val="176D70D9"/>
    <w:rsid w:val="17852965"/>
    <w:rsid w:val="178C784F"/>
    <w:rsid w:val="179B7A92"/>
    <w:rsid w:val="17B31280"/>
    <w:rsid w:val="17CC0594"/>
    <w:rsid w:val="17D80CE7"/>
    <w:rsid w:val="17DF02C7"/>
    <w:rsid w:val="17EE4066"/>
    <w:rsid w:val="17EE6EA3"/>
    <w:rsid w:val="17F3167D"/>
    <w:rsid w:val="17FA6EAF"/>
    <w:rsid w:val="17FD24FB"/>
    <w:rsid w:val="180F222F"/>
    <w:rsid w:val="182F2C47"/>
    <w:rsid w:val="18316649"/>
    <w:rsid w:val="18331941"/>
    <w:rsid w:val="183A374F"/>
    <w:rsid w:val="18441ED8"/>
    <w:rsid w:val="184620F4"/>
    <w:rsid w:val="1854746C"/>
    <w:rsid w:val="18567E5D"/>
    <w:rsid w:val="185760AF"/>
    <w:rsid w:val="186B56B7"/>
    <w:rsid w:val="18A64941"/>
    <w:rsid w:val="18B60B99"/>
    <w:rsid w:val="18C272A1"/>
    <w:rsid w:val="18E67433"/>
    <w:rsid w:val="18EB2C9C"/>
    <w:rsid w:val="18F02060"/>
    <w:rsid w:val="18FF22A3"/>
    <w:rsid w:val="190E24E6"/>
    <w:rsid w:val="192F0DDA"/>
    <w:rsid w:val="193C52A5"/>
    <w:rsid w:val="19510D51"/>
    <w:rsid w:val="196D1903"/>
    <w:rsid w:val="196F7429"/>
    <w:rsid w:val="19744A3F"/>
    <w:rsid w:val="1981715C"/>
    <w:rsid w:val="1988673C"/>
    <w:rsid w:val="19996254"/>
    <w:rsid w:val="199B47EC"/>
    <w:rsid w:val="19A86DB6"/>
    <w:rsid w:val="19AB7C0A"/>
    <w:rsid w:val="19B45109"/>
    <w:rsid w:val="19B7465C"/>
    <w:rsid w:val="19B968F6"/>
    <w:rsid w:val="19DB4ABE"/>
    <w:rsid w:val="19E33973"/>
    <w:rsid w:val="19EA2F53"/>
    <w:rsid w:val="19EA4D01"/>
    <w:rsid w:val="19FD4A34"/>
    <w:rsid w:val="1A0C4C78"/>
    <w:rsid w:val="1A0E6C42"/>
    <w:rsid w:val="1A18361C"/>
    <w:rsid w:val="1A3C4B9B"/>
    <w:rsid w:val="1A495ECC"/>
    <w:rsid w:val="1A58610F"/>
    <w:rsid w:val="1A5A1E87"/>
    <w:rsid w:val="1A5B5BFF"/>
    <w:rsid w:val="1A6A7BF0"/>
    <w:rsid w:val="1A750A6F"/>
    <w:rsid w:val="1A8567D8"/>
    <w:rsid w:val="1A9609E5"/>
    <w:rsid w:val="1A996FC3"/>
    <w:rsid w:val="1A9D7FC6"/>
    <w:rsid w:val="1AA11864"/>
    <w:rsid w:val="1AC10109"/>
    <w:rsid w:val="1AF10480"/>
    <w:rsid w:val="1B0342CC"/>
    <w:rsid w:val="1B0818E3"/>
    <w:rsid w:val="1B102545"/>
    <w:rsid w:val="1B1A33C4"/>
    <w:rsid w:val="1B440441"/>
    <w:rsid w:val="1B4B7A22"/>
    <w:rsid w:val="1B4D379A"/>
    <w:rsid w:val="1B662AAD"/>
    <w:rsid w:val="1B701236"/>
    <w:rsid w:val="1B79458F"/>
    <w:rsid w:val="1B7A3E63"/>
    <w:rsid w:val="1B7B0307"/>
    <w:rsid w:val="1B8D1DE8"/>
    <w:rsid w:val="1B974A15"/>
    <w:rsid w:val="1B9E5DA3"/>
    <w:rsid w:val="1BA314B5"/>
    <w:rsid w:val="1BA535D6"/>
    <w:rsid w:val="1BA84E74"/>
    <w:rsid w:val="1BBB0703"/>
    <w:rsid w:val="1BC752FA"/>
    <w:rsid w:val="1BD45C69"/>
    <w:rsid w:val="1BDC68CC"/>
    <w:rsid w:val="1BF956CF"/>
    <w:rsid w:val="1C1E0C92"/>
    <w:rsid w:val="1C295FB5"/>
    <w:rsid w:val="1C5823F6"/>
    <w:rsid w:val="1C626DD1"/>
    <w:rsid w:val="1C654B13"/>
    <w:rsid w:val="1C662D65"/>
    <w:rsid w:val="1C71170A"/>
    <w:rsid w:val="1C715266"/>
    <w:rsid w:val="1C872CDB"/>
    <w:rsid w:val="1C940F54"/>
    <w:rsid w:val="1C961170"/>
    <w:rsid w:val="1C972ECE"/>
    <w:rsid w:val="1C9F1DD3"/>
    <w:rsid w:val="1CA90EA4"/>
    <w:rsid w:val="1CAB69CA"/>
    <w:rsid w:val="1CC654CE"/>
    <w:rsid w:val="1CD0523A"/>
    <w:rsid w:val="1CD06430"/>
    <w:rsid w:val="1CD83537"/>
    <w:rsid w:val="1CDA72AF"/>
    <w:rsid w:val="1CE43C8A"/>
    <w:rsid w:val="1CEB14BC"/>
    <w:rsid w:val="1CF3211F"/>
    <w:rsid w:val="1CFD2F9D"/>
    <w:rsid w:val="1D083E1C"/>
    <w:rsid w:val="1D100F23"/>
    <w:rsid w:val="1D183933"/>
    <w:rsid w:val="1D2247B2"/>
    <w:rsid w:val="1D271DC8"/>
    <w:rsid w:val="1D3249F5"/>
    <w:rsid w:val="1D3369BF"/>
    <w:rsid w:val="1D554B87"/>
    <w:rsid w:val="1D5F0795"/>
    <w:rsid w:val="1D686669"/>
    <w:rsid w:val="1D6B43AB"/>
    <w:rsid w:val="1D750D86"/>
    <w:rsid w:val="1D8611E5"/>
    <w:rsid w:val="1D8A4831"/>
    <w:rsid w:val="1D8D4321"/>
    <w:rsid w:val="1DBB0E8E"/>
    <w:rsid w:val="1DC37D43"/>
    <w:rsid w:val="1DF63C75"/>
    <w:rsid w:val="1E222CBC"/>
    <w:rsid w:val="1E4F7829"/>
    <w:rsid w:val="1E566E09"/>
    <w:rsid w:val="1E6257AE"/>
    <w:rsid w:val="1E6B3235"/>
    <w:rsid w:val="1E707ECB"/>
    <w:rsid w:val="1E731769"/>
    <w:rsid w:val="1E766B63"/>
    <w:rsid w:val="1E7948A6"/>
    <w:rsid w:val="1E7B6870"/>
    <w:rsid w:val="1E8C45D9"/>
    <w:rsid w:val="1E91399D"/>
    <w:rsid w:val="1E9B2A6E"/>
    <w:rsid w:val="1EA0669C"/>
    <w:rsid w:val="1EB678A8"/>
    <w:rsid w:val="1EE14925"/>
    <w:rsid w:val="1EE75CB3"/>
    <w:rsid w:val="1EEB57A3"/>
    <w:rsid w:val="1EFB52BB"/>
    <w:rsid w:val="1EFD1033"/>
    <w:rsid w:val="1F0B7BF4"/>
    <w:rsid w:val="1F1840BF"/>
    <w:rsid w:val="1F1D16D5"/>
    <w:rsid w:val="1F2760B0"/>
    <w:rsid w:val="1F494278"/>
    <w:rsid w:val="1F5A6485"/>
    <w:rsid w:val="1F6115C2"/>
    <w:rsid w:val="1F615A66"/>
    <w:rsid w:val="1F617814"/>
    <w:rsid w:val="1F647304"/>
    <w:rsid w:val="1F7C289F"/>
    <w:rsid w:val="1F7F7C9A"/>
    <w:rsid w:val="1F941997"/>
    <w:rsid w:val="1FA616CA"/>
    <w:rsid w:val="1FB97650"/>
    <w:rsid w:val="1FBF278C"/>
    <w:rsid w:val="1FF64400"/>
    <w:rsid w:val="1FFB1A16"/>
    <w:rsid w:val="1FFC12EA"/>
    <w:rsid w:val="1FFE3B2A"/>
    <w:rsid w:val="20016901"/>
    <w:rsid w:val="20087C8F"/>
    <w:rsid w:val="200B777F"/>
    <w:rsid w:val="20270A5D"/>
    <w:rsid w:val="203942EC"/>
    <w:rsid w:val="203D583D"/>
    <w:rsid w:val="20401B1F"/>
    <w:rsid w:val="2041079C"/>
    <w:rsid w:val="20457135"/>
    <w:rsid w:val="204C4020"/>
    <w:rsid w:val="205630F0"/>
    <w:rsid w:val="20586E69"/>
    <w:rsid w:val="205B24B5"/>
    <w:rsid w:val="205E01F7"/>
    <w:rsid w:val="206E043A"/>
    <w:rsid w:val="207B2B57"/>
    <w:rsid w:val="207D067D"/>
    <w:rsid w:val="20875058"/>
    <w:rsid w:val="20971013"/>
    <w:rsid w:val="20A200E4"/>
    <w:rsid w:val="20B33154"/>
    <w:rsid w:val="20BD316F"/>
    <w:rsid w:val="20BD4F1E"/>
    <w:rsid w:val="20D364EF"/>
    <w:rsid w:val="20D65FDF"/>
    <w:rsid w:val="20DB53A4"/>
    <w:rsid w:val="20E22BD6"/>
    <w:rsid w:val="20FF5536"/>
    <w:rsid w:val="21354AB4"/>
    <w:rsid w:val="214E5B76"/>
    <w:rsid w:val="215238B8"/>
    <w:rsid w:val="21617F9F"/>
    <w:rsid w:val="217C0CE7"/>
    <w:rsid w:val="2197751D"/>
    <w:rsid w:val="219914E7"/>
    <w:rsid w:val="219F4623"/>
    <w:rsid w:val="21B856E5"/>
    <w:rsid w:val="21D313EA"/>
    <w:rsid w:val="21D56297"/>
    <w:rsid w:val="21D7200F"/>
    <w:rsid w:val="21DC13D3"/>
    <w:rsid w:val="21E14C3C"/>
    <w:rsid w:val="21E604A4"/>
    <w:rsid w:val="21E834B8"/>
    <w:rsid w:val="21EE1107"/>
    <w:rsid w:val="21FE134A"/>
    <w:rsid w:val="22327245"/>
    <w:rsid w:val="223C1E72"/>
    <w:rsid w:val="22525B39"/>
    <w:rsid w:val="225B49EE"/>
    <w:rsid w:val="226118D9"/>
    <w:rsid w:val="226C09A9"/>
    <w:rsid w:val="226F2247"/>
    <w:rsid w:val="226F3FF6"/>
    <w:rsid w:val="22761828"/>
    <w:rsid w:val="227B6E3E"/>
    <w:rsid w:val="22B1460E"/>
    <w:rsid w:val="22B20386"/>
    <w:rsid w:val="22C00CF5"/>
    <w:rsid w:val="22C97BAA"/>
    <w:rsid w:val="22CF718A"/>
    <w:rsid w:val="22D36C7A"/>
    <w:rsid w:val="22D64075"/>
    <w:rsid w:val="22D84291"/>
    <w:rsid w:val="22E449E3"/>
    <w:rsid w:val="22EA7B20"/>
    <w:rsid w:val="22EE5862"/>
    <w:rsid w:val="22F369D5"/>
    <w:rsid w:val="22F64717"/>
    <w:rsid w:val="22F97F47"/>
    <w:rsid w:val="22FA5DFD"/>
    <w:rsid w:val="22FD7853"/>
    <w:rsid w:val="230C5CE8"/>
    <w:rsid w:val="231E77CA"/>
    <w:rsid w:val="231F5A1C"/>
    <w:rsid w:val="233A0AA7"/>
    <w:rsid w:val="23492A98"/>
    <w:rsid w:val="234B6811"/>
    <w:rsid w:val="235821AC"/>
    <w:rsid w:val="23582CDC"/>
    <w:rsid w:val="23671171"/>
    <w:rsid w:val="237D2742"/>
    <w:rsid w:val="238166D6"/>
    <w:rsid w:val="238E0DF3"/>
    <w:rsid w:val="2398757C"/>
    <w:rsid w:val="23A67EEB"/>
    <w:rsid w:val="23AB3753"/>
    <w:rsid w:val="23AE0B4E"/>
    <w:rsid w:val="23BC326A"/>
    <w:rsid w:val="23BE3486"/>
    <w:rsid w:val="23C6233B"/>
    <w:rsid w:val="23D031BA"/>
    <w:rsid w:val="23D34A58"/>
    <w:rsid w:val="23DF164F"/>
    <w:rsid w:val="23E5690E"/>
    <w:rsid w:val="23F549CE"/>
    <w:rsid w:val="24030E16"/>
    <w:rsid w:val="240F2468"/>
    <w:rsid w:val="241E5CD3"/>
    <w:rsid w:val="24247062"/>
    <w:rsid w:val="24264B88"/>
    <w:rsid w:val="24265A6F"/>
    <w:rsid w:val="242B219E"/>
    <w:rsid w:val="242D5F16"/>
    <w:rsid w:val="243F5C4A"/>
    <w:rsid w:val="24431BDE"/>
    <w:rsid w:val="24521E21"/>
    <w:rsid w:val="245416F5"/>
    <w:rsid w:val="24547947"/>
    <w:rsid w:val="245F009A"/>
    <w:rsid w:val="24681644"/>
    <w:rsid w:val="246F2B60"/>
    <w:rsid w:val="24885842"/>
    <w:rsid w:val="249B7324"/>
    <w:rsid w:val="24A0493A"/>
    <w:rsid w:val="24A65CC9"/>
    <w:rsid w:val="24B623B0"/>
    <w:rsid w:val="24C26FA6"/>
    <w:rsid w:val="24CA7C09"/>
    <w:rsid w:val="24CC1BD3"/>
    <w:rsid w:val="24D171E9"/>
    <w:rsid w:val="24D40A88"/>
    <w:rsid w:val="24DC16EA"/>
    <w:rsid w:val="24F44C86"/>
    <w:rsid w:val="25115838"/>
    <w:rsid w:val="25203CCD"/>
    <w:rsid w:val="25292B82"/>
    <w:rsid w:val="25535E50"/>
    <w:rsid w:val="256040C9"/>
    <w:rsid w:val="2561056D"/>
    <w:rsid w:val="256502EA"/>
    <w:rsid w:val="256B669F"/>
    <w:rsid w:val="256E4A38"/>
    <w:rsid w:val="257F6C45"/>
    <w:rsid w:val="25853B30"/>
    <w:rsid w:val="258B55EA"/>
    <w:rsid w:val="25A8619C"/>
    <w:rsid w:val="25B34B41"/>
    <w:rsid w:val="25B74631"/>
    <w:rsid w:val="25B83F05"/>
    <w:rsid w:val="25BC1C48"/>
    <w:rsid w:val="25BC57A4"/>
    <w:rsid w:val="25C66622"/>
    <w:rsid w:val="25CE3259"/>
    <w:rsid w:val="25D02FFD"/>
    <w:rsid w:val="25D56865"/>
    <w:rsid w:val="25DC7BF4"/>
    <w:rsid w:val="25E35426"/>
    <w:rsid w:val="25F74A2E"/>
    <w:rsid w:val="260929B3"/>
    <w:rsid w:val="260B04D9"/>
    <w:rsid w:val="260D5FFF"/>
    <w:rsid w:val="261849A4"/>
    <w:rsid w:val="263643F6"/>
    <w:rsid w:val="263F63D5"/>
    <w:rsid w:val="264D1F37"/>
    <w:rsid w:val="264E03C6"/>
    <w:rsid w:val="265379B3"/>
    <w:rsid w:val="265C6F87"/>
    <w:rsid w:val="26600825"/>
    <w:rsid w:val="266B4E43"/>
    <w:rsid w:val="269404CF"/>
    <w:rsid w:val="2694227D"/>
    <w:rsid w:val="26A1499A"/>
    <w:rsid w:val="26B24DF9"/>
    <w:rsid w:val="26BE554B"/>
    <w:rsid w:val="26E56F7C"/>
    <w:rsid w:val="26E86A6C"/>
    <w:rsid w:val="270C62B7"/>
    <w:rsid w:val="27160EE4"/>
    <w:rsid w:val="27201D62"/>
    <w:rsid w:val="27233601"/>
    <w:rsid w:val="272C6959"/>
    <w:rsid w:val="272F1FA5"/>
    <w:rsid w:val="273B6B9C"/>
    <w:rsid w:val="273D46C2"/>
    <w:rsid w:val="274517C9"/>
    <w:rsid w:val="27475541"/>
    <w:rsid w:val="27483067"/>
    <w:rsid w:val="27514612"/>
    <w:rsid w:val="275163C0"/>
    <w:rsid w:val="27710810"/>
    <w:rsid w:val="27750300"/>
    <w:rsid w:val="279F537D"/>
    <w:rsid w:val="27A14534"/>
    <w:rsid w:val="27A44741"/>
    <w:rsid w:val="27A504B9"/>
    <w:rsid w:val="27A74232"/>
    <w:rsid w:val="27B64475"/>
    <w:rsid w:val="27BC5F2F"/>
    <w:rsid w:val="27BF77CD"/>
    <w:rsid w:val="27CC3C98"/>
    <w:rsid w:val="27D019DA"/>
    <w:rsid w:val="27D67EA3"/>
    <w:rsid w:val="27E45486"/>
    <w:rsid w:val="27E62FAC"/>
    <w:rsid w:val="27EB05C2"/>
    <w:rsid w:val="27F37477"/>
    <w:rsid w:val="281178FD"/>
    <w:rsid w:val="28193C5B"/>
    <w:rsid w:val="281B7DE6"/>
    <w:rsid w:val="28213FE4"/>
    <w:rsid w:val="28237D5C"/>
    <w:rsid w:val="28277120"/>
    <w:rsid w:val="282B4E63"/>
    <w:rsid w:val="282D0BDB"/>
    <w:rsid w:val="28302479"/>
    <w:rsid w:val="28304227"/>
    <w:rsid w:val="284101E2"/>
    <w:rsid w:val="28414686"/>
    <w:rsid w:val="284249A6"/>
    <w:rsid w:val="284303FE"/>
    <w:rsid w:val="284657F9"/>
    <w:rsid w:val="28650375"/>
    <w:rsid w:val="28687E65"/>
    <w:rsid w:val="286A598B"/>
    <w:rsid w:val="28773C04"/>
    <w:rsid w:val="287A36F4"/>
    <w:rsid w:val="28926C90"/>
    <w:rsid w:val="28940C5A"/>
    <w:rsid w:val="28A16ED3"/>
    <w:rsid w:val="28B224CC"/>
    <w:rsid w:val="28B74948"/>
    <w:rsid w:val="28BE1833"/>
    <w:rsid w:val="28D63EDD"/>
    <w:rsid w:val="28EF7C3E"/>
    <w:rsid w:val="29003BF9"/>
    <w:rsid w:val="29015BC3"/>
    <w:rsid w:val="292728BE"/>
    <w:rsid w:val="2927481D"/>
    <w:rsid w:val="29626662"/>
    <w:rsid w:val="2964062C"/>
    <w:rsid w:val="296C128F"/>
    <w:rsid w:val="297F5466"/>
    <w:rsid w:val="29842A7C"/>
    <w:rsid w:val="29852351"/>
    <w:rsid w:val="298760C9"/>
    <w:rsid w:val="29883BEF"/>
    <w:rsid w:val="298C36DF"/>
    <w:rsid w:val="299802D6"/>
    <w:rsid w:val="29A0362E"/>
    <w:rsid w:val="29B570DA"/>
    <w:rsid w:val="29BA649E"/>
    <w:rsid w:val="29D3130E"/>
    <w:rsid w:val="29DB4666"/>
    <w:rsid w:val="29DC2793"/>
    <w:rsid w:val="29E4176D"/>
    <w:rsid w:val="29E74DB9"/>
    <w:rsid w:val="29EF3C6E"/>
    <w:rsid w:val="29FD638B"/>
    <w:rsid w:val="29FF34E7"/>
    <w:rsid w:val="2A021BF3"/>
    <w:rsid w:val="2A1E1E90"/>
    <w:rsid w:val="2A222295"/>
    <w:rsid w:val="2A420242"/>
    <w:rsid w:val="2A4C2E6E"/>
    <w:rsid w:val="2A571F3F"/>
    <w:rsid w:val="2A6308E4"/>
    <w:rsid w:val="2A64465C"/>
    <w:rsid w:val="2A703001"/>
    <w:rsid w:val="2A7C7BF7"/>
    <w:rsid w:val="2A84085A"/>
    <w:rsid w:val="2AA1765E"/>
    <w:rsid w:val="2AB7478C"/>
    <w:rsid w:val="2AB96756"/>
    <w:rsid w:val="2ADC2444"/>
    <w:rsid w:val="2AEE3BE9"/>
    <w:rsid w:val="2AF92FF6"/>
    <w:rsid w:val="2B1B15F8"/>
    <w:rsid w:val="2B230073"/>
    <w:rsid w:val="2B2F07C6"/>
    <w:rsid w:val="2B317C0A"/>
    <w:rsid w:val="2B365FF8"/>
    <w:rsid w:val="2B395AE8"/>
    <w:rsid w:val="2B397896"/>
    <w:rsid w:val="2B3C2072"/>
    <w:rsid w:val="2B6F7065"/>
    <w:rsid w:val="2B7D7783"/>
    <w:rsid w:val="2B7E174D"/>
    <w:rsid w:val="2BA016C4"/>
    <w:rsid w:val="2BDB26FC"/>
    <w:rsid w:val="2BEB6DE3"/>
    <w:rsid w:val="2BEF61A7"/>
    <w:rsid w:val="2BF65788"/>
    <w:rsid w:val="2C02412C"/>
    <w:rsid w:val="2C153E60"/>
    <w:rsid w:val="2C2E0A7D"/>
    <w:rsid w:val="2C2E3173"/>
    <w:rsid w:val="2C4D184B"/>
    <w:rsid w:val="2C504E98"/>
    <w:rsid w:val="2C506C46"/>
    <w:rsid w:val="2C526E62"/>
    <w:rsid w:val="2C5F50DB"/>
    <w:rsid w:val="2C7548FE"/>
    <w:rsid w:val="2C8841DF"/>
    <w:rsid w:val="2C8D1C48"/>
    <w:rsid w:val="2C9805ED"/>
    <w:rsid w:val="2CA62D0A"/>
    <w:rsid w:val="2CA87512"/>
    <w:rsid w:val="2CC17B44"/>
    <w:rsid w:val="2CC47634"/>
    <w:rsid w:val="2CDD0F1C"/>
    <w:rsid w:val="2CEE645F"/>
    <w:rsid w:val="2D03015C"/>
    <w:rsid w:val="2D0D0FDB"/>
    <w:rsid w:val="2D12039F"/>
    <w:rsid w:val="2D2B1461"/>
    <w:rsid w:val="2D314CC9"/>
    <w:rsid w:val="2D3C541C"/>
    <w:rsid w:val="2D3C71CA"/>
    <w:rsid w:val="2D510EC7"/>
    <w:rsid w:val="2D6D7CCB"/>
    <w:rsid w:val="2D6F57F1"/>
    <w:rsid w:val="2D720E3E"/>
    <w:rsid w:val="2D7C1CBC"/>
    <w:rsid w:val="2D856DC3"/>
    <w:rsid w:val="2D8868B3"/>
    <w:rsid w:val="2D947006"/>
    <w:rsid w:val="2D990AC0"/>
    <w:rsid w:val="2DBD030B"/>
    <w:rsid w:val="2DD1025A"/>
    <w:rsid w:val="2DD83397"/>
    <w:rsid w:val="2DE053A8"/>
    <w:rsid w:val="2DF14458"/>
    <w:rsid w:val="2DF53F49"/>
    <w:rsid w:val="2E114AFB"/>
    <w:rsid w:val="2E1F0FC6"/>
    <w:rsid w:val="2E20089A"/>
    <w:rsid w:val="2E232138"/>
    <w:rsid w:val="2E2C723F"/>
    <w:rsid w:val="2E3C21B3"/>
    <w:rsid w:val="2E556795"/>
    <w:rsid w:val="2E61338C"/>
    <w:rsid w:val="2E617BCB"/>
    <w:rsid w:val="2E84707B"/>
    <w:rsid w:val="2E933762"/>
    <w:rsid w:val="2E975000"/>
    <w:rsid w:val="2E982B26"/>
    <w:rsid w:val="2EB23BE8"/>
    <w:rsid w:val="2EB3170E"/>
    <w:rsid w:val="2EBA1135"/>
    <w:rsid w:val="2EC4391B"/>
    <w:rsid w:val="2EE93382"/>
    <w:rsid w:val="2EEE2746"/>
    <w:rsid w:val="2EF44200"/>
    <w:rsid w:val="2EFF6701"/>
    <w:rsid w:val="2F081A5A"/>
    <w:rsid w:val="2F083808"/>
    <w:rsid w:val="2F1523C9"/>
    <w:rsid w:val="2F155F25"/>
    <w:rsid w:val="2F210D6D"/>
    <w:rsid w:val="2F25260C"/>
    <w:rsid w:val="2F285C58"/>
    <w:rsid w:val="2F2F5238"/>
    <w:rsid w:val="2F300FB0"/>
    <w:rsid w:val="2F3E7229"/>
    <w:rsid w:val="2F590507"/>
    <w:rsid w:val="2F650C5A"/>
    <w:rsid w:val="2F7610B9"/>
    <w:rsid w:val="2F81180C"/>
    <w:rsid w:val="2F8A6913"/>
    <w:rsid w:val="2F9C6646"/>
    <w:rsid w:val="2FB460ED"/>
    <w:rsid w:val="2FB614B6"/>
    <w:rsid w:val="2FB76FDC"/>
    <w:rsid w:val="2FCD67FF"/>
    <w:rsid w:val="2FD35690"/>
    <w:rsid w:val="2FF95846"/>
    <w:rsid w:val="2FFE2E5D"/>
    <w:rsid w:val="300A7A53"/>
    <w:rsid w:val="301937F3"/>
    <w:rsid w:val="301B3A0F"/>
    <w:rsid w:val="30226B4B"/>
    <w:rsid w:val="30406F02"/>
    <w:rsid w:val="30550CCF"/>
    <w:rsid w:val="305B205D"/>
    <w:rsid w:val="30670C23"/>
    <w:rsid w:val="306C6018"/>
    <w:rsid w:val="307A6987"/>
    <w:rsid w:val="308B2942"/>
    <w:rsid w:val="30AD0FC8"/>
    <w:rsid w:val="30BC0D4E"/>
    <w:rsid w:val="30BE33DD"/>
    <w:rsid w:val="30C101E2"/>
    <w:rsid w:val="30C61BCC"/>
    <w:rsid w:val="30D75B88"/>
    <w:rsid w:val="30DA5678"/>
    <w:rsid w:val="30E738F1"/>
    <w:rsid w:val="30F1651D"/>
    <w:rsid w:val="3105339B"/>
    <w:rsid w:val="31104BF6"/>
    <w:rsid w:val="3115045E"/>
    <w:rsid w:val="313A6116"/>
    <w:rsid w:val="313C59EB"/>
    <w:rsid w:val="31440D43"/>
    <w:rsid w:val="3175714F"/>
    <w:rsid w:val="317653A0"/>
    <w:rsid w:val="317D4D5F"/>
    <w:rsid w:val="317F3B29"/>
    <w:rsid w:val="31857392"/>
    <w:rsid w:val="31862639"/>
    <w:rsid w:val="31975317"/>
    <w:rsid w:val="31B163D9"/>
    <w:rsid w:val="31B41A25"/>
    <w:rsid w:val="31D200FD"/>
    <w:rsid w:val="31D25BE6"/>
    <w:rsid w:val="31ED6C9B"/>
    <w:rsid w:val="31FE5396"/>
    <w:rsid w:val="32052280"/>
    <w:rsid w:val="3212499D"/>
    <w:rsid w:val="32340DB8"/>
    <w:rsid w:val="323D5EBE"/>
    <w:rsid w:val="32477CFD"/>
    <w:rsid w:val="3268280F"/>
    <w:rsid w:val="326E7E26"/>
    <w:rsid w:val="32715B68"/>
    <w:rsid w:val="327720A6"/>
    <w:rsid w:val="327B69E7"/>
    <w:rsid w:val="32A7158A"/>
    <w:rsid w:val="32B43B8A"/>
    <w:rsid w:val="32B75C71"/>
    <w:rsid w:val="32B91A02"/>
    <w:rsid w:val="32CA7B7D"/>
    <w:rsid w:val="32D61E6F"/>
    <w:rsid w:val="32DF0D23"/>
    <w:rsid w:val="32EE540A"/>
    <w:rsid w:val="32F04CDF"/>
    <w:rsid w:val="32F32A21"/>
    <w:rsid w:val="32FA3DAF"/>
    <w:rsid w:val="33182487"/>
    <w:rsid w:val="331A365B"/>
    <w:rsid w:val="332350B4"/>
    <w:rsid w:val="33407898"/>
    <w:rsid w:val="33492641"/>
    <w:rsid w:val="334B63B9"/>
    <w:rsid w:val="335A484E"/>
    <w:rsid w:val="335C05C6"/>
    <w:rsid w:val="338B2C59"/>
    <w:rsid w:val="338D077F"/>
    <w:rsid w:val="33947D60"/>
    <w:rsid w:val="339E473B"/>
    <w:rsid w:val="339F04B3"/>
    <w:rsid w:val="33B45D0C"/>
    <w:rsid w:val="33BC72B7"/>
    <w:rsid w:val="33C87A09"/>
    <w:rsid w:val="33CD3272"/>
    <w:rsid w:val="33CF0D98"/>
    <w:rsid w:val="33D22636"/>
    <w:rsid w:val="33DF6B01"/>
    <w:rsid w:val="33F95E15"/>
    <w:rsid w:val="340D18C0"/>
    <w:rsid w:val="341B3FDD"/>
    <w:rsid w:val="341E1D1F"/>
    <w:rsid w:val="342033A2"/>
    <w:rsid w:val="342F5CDB"/>
    <w:rsid w:val="34403A44"/>
    <w:rsid w:val="344F3C87"/>
    <w:rsid w:val="345614B9"/>
    <w:rsid w:val="346E05B1"/>
    <w:rsid w:val="34733E19"/>
    <w:rsid w:val="34761214"/>
    <w:rsid w:val="348778C5"/>
    <w:rsid w:val="34967B08"/>
    <w:rsid w:val="34A2025B"/>
    <w:rsid w:val="34A83397"/>
    <w:rsid w:val="34B54432"/>
    <w:rsid w:val="34B561E0"/>
    <w:rsid w:val="34C04B85"/>
    <w:rsid w:val="34CE1050"/>
    <w:rsid w:val="34D04DC8"/>
    <w:rsid w:val="34E93222"/>
    <w:rsid w:val="34E940DB"/>
    <w:rsid w:val="34F211E2"/>
    <w:rsid w:val="34F565DC"/>
    <w:rsid w:val="35064C8D"/>
    <w:rsid w:val="35076310"/>
    <w:rsid w:val="350B4052"/>
    <w:rsid w:val="351D5B33"/>
    <w:rsid w:val="353F1F4D"/>
    <w:rsid w:val="353F3CFB"/>
    <w:rsid w:val="35505F08"/>
    <w:rsid w:val="355C77E1"/>
    <w:rsid w:val="3586192A"/>
    <w:rsid w:val="35977693"/>
    <w:rsid w:val="359F29EC"/>
    <w:rsid w:val="35A61FCC"/>
    <w:rsid w:val="35A623D8"/>
    <w:rsid w:val="35AE2C2F"/>
    <w:rsid w:val="35B244CD"/>
    <w:rsid w:val="35D95EFE"/>
    <w:rsid w:val="35E12B4D"/>
    <w:rsid w:val="36010FB1"/>
    <w:rsid w:val="360B29CC"/>
    <w:rsid w:val="36140CE4"/>
    <w:rsid w:val="361B6516"/>
    <w:rsid w:val="361C228F"/>
    <w:rsid w:val="362829E1"/>
    <w:rsid w:val="36341386"/>
    <w:rsid w:val="36394BEF"/>
    <w:rsid w:val="364F7F6E"/>
    <w:rsid w:val="36730100"/>
    <w:rsid w:val="3687595A"/>
    <w:rsid w:val="368F0CB2"/>
    <w:rsid w:val="36CC5A63"/>
    <w:rsid w:val="36D30B9F"/>
    <w:rsid w:val="36D3294D"/>
    <w:rsid w:val="36D466C5"/>
    <w:rsid w:val="36DD37CC"/>
    <w:rsid w:val="36DD557A"/>
    <w:rsid w:val="36E42DAC"/>
    <w:rsid w:val="36F56D67"/>
    <w:rsid w:val="37046FAB"/>
    <w:rsid w:val="37184804"/>
    <w:rsid w:val="371A4A20"/>
    <w:rsid w:val="3725246C"/>
    <w:rsid w:val="376D2DA2"/>
    <w:rsid w:val="377626E2"/>
    <w:rsid w:val="378105FB"/>
    <w:rsid w:val="37824373"/>
    <w:rsid w:val="37841E99"/>
    <w:rsid w:val="378974B0"/>
    <w:rsid w:val="379C3687"/>
    <w:rsid w:val="37A83DDA"/>
    <w:rsid w:val="37E52224"/>
    <w:rsid w:val="37EB3CC7"/>
    <w:rsid w:val="37EF1A09"/>
    <w:rsid w:val="37F214F9"/>
    <w:rsid w:val="37F54B45"/>
    <w:rsid w:val="37F60FE9"/>
    <w:rsid w:val="380354B4"/>
    <w:rsid w:val="38064FA4"/>
    <w:rsid w:val="38156F95"/>
    <w:rsid w:val="382316B2"/>
    <w:rsid w:val="38390ED6"/>
    <w:rsid w:val="38685317"/>
    <w:rsid w:val="38740160"/>
    <w:rsid w:val="387B7DEB"/>
    <w:rsid w:val="38934A8A"/>
    <w:rsid w:val="389C3213"/>
    <w:rsid w:val="38AC78FA"/>
    <w:rsid w:val="38BA4386"/>
    <w:rsid w:val="38C22C79"/>
    <w:rsid w:val="38DB3D3B"/>
    <w:rsid w:val="390908A8"/>
    <w:rsid w:val="39292CF8"/>
    <w:rsid w:val="39333B77"/>
    <w:rsid w:val="393D0552"/>
    <w:rsid w:val="393D67A4"/>
    <w:rsid w:val="3942025E"/>
    <w:rsid w:val="39447B32"/>
    <w:rsid w:val="396106E4"/>
    <w:rsid w:val="397C551E"/>
    <w:rsid w:val="39875C71"/>
    <w:rsid w:val="39934616"/>
    <w:rsid w:val="39974106"/>
    <w:rsid w:val="39B50A30"/>
    <w:rsid w:val="39D0586A"/>
    <w:rsid w:val="39D54C2E"/>
    <w:rsid w:val="39D76BF8"/>
    <w:rsid w:val="39DC5FBD"/>
    <w:rsid w:val="39EE7A9E"/>
    <w:rsid w:val="39F33306"/>
    <w:rsid w:val="3A16590A"/>
    <w:rsid w:val="3A192D6D"/>
    <w:rsid w:val="3A1F5EA9"/>
    <w:rsid w:val="3A2B6F44"/>
    <w:rsid w:val="3A331955"/>
    <w:rsid w:val="3A414072"/>
    <w:rsid w:val="3A4678DA"/>
    <w:rsid w:val="3A52002D"/>
    <w:rsid w:val="3A6F6E31"/>
    <w:rsid w:val="3A7E0E22"/>
    <w:rsid w:val="3A873B48"/>
    <w:rsid w:val="3A8F74D3"/>
    <w:rsid w:val="3AA30888"/>
    <w:rsid w:val="3AAB598F"/>
    <w:rsid w:val="3AAF36D1"/>
    <w:rsid w:val="3AB605BC"/>
    <w:rsid w:val="3ADD1FEC"/>
    <w:rsid w:val="3AE710BD"/>
    <w:rsid w:val="3AED7D56"/>
    <w:rsid w:val="3AFE01B5"/>
    <w:rsid w:val="3B043A1D"/>
    <w:rsid w:val="3B082DE1"/>
    <w:rsid w:val="3B133C60"/>
    <w:rsid w:val="3B244C0A"/>
    <w:rsid w:val="3B2A71FC"/>
    <w:rsid w:val="3B3B31B7"/>
    <w:rsid w:val="3B4F0A10"/>
    <w:rsid w:val="3B585B17"/>
    <w:rsid w:val="3B6049CB"/>
    <w:rsid w:val="3B634F3B"/>
    <w:rsid w:val="3B6A75F8"/>
    <w:rsid w:val="3B7D37CF"/>
    <w:rsid w:val="3B893F22"/>
    <w:rsid w:val="3B903503"/>
    <w:rsid w:val="3BAC5E63"/>
    <w:rsid w:val="3BCC2061"/>
    <w:rsid w:val="3BD31641"/>
    <w:rsid w:val="3BE03287"/>
    <w:rsid w:val="3BE63123"/>
    <w:rsid w:val="3BE64ED1"/>
    <w:rsid w:val="3C004325"/>
    <w:rsid w:val="3C067321"/>
    <w:rsid w:val="3C1557B6"/>
    <w:rsid w:val="3C24750F"/>
    <w:rsid w:val="3C37397E"/>
    <w:rsid w:val="3C3A521C"/>
    <w:rsid w:val="3C3C71E7"/>
    <w:rsid w:val="3C3F2833"/>
    <w:rsid w:val="3C553E04"/>
    <w:rsid w:val="3C5E46C8"/>
    <w:rsid w:val="3C6B3628"/>
    <w:rsid w:val="3C836BC3"/>
    <w:rsid w:val="3C8D17F0"/>
    <w:rsid w:val="3C8F7316"/>
    <w:rsid w:val="3C90308E"/>
    <w:rsid w:val="3CB11983"/>
    <w:rsid w:val="3CD15B81"/>
    <w:rsid w:val="3CF63839"/>
    <w:rsid w:val="3CFE624A"/>
    <w:rsid w:val="3D4225DB"/>
    <w:rsid w:val="3D6A1B31"/>
    <w:rsid w:val="3D74650C"/>
    <w:rsid w:val="3D803103"/>
    <w:rsid w:val="3D94095C"/>
    <w:rsid w:val="3D960B78"/>
    <w:rsid w:val="3DBB413B"/>
    <w:rsid w:val="3DC47569"/>
    <w:rsid w:val="3DC6320C"/>
    <w:rsid w:val="3DD11BB1"/>
    <w:rsid w:val="3DDC2A2F"/>
    <w:rsid w:val="3DFA4C63"/>
    <w:rsid w:val="3E03620E"/>
    <w:rsid w:val="3E043D34"/>
    <w:rsid w:val="3E1F291C"/>
    <w:rsid w:val="3E2241BA"/>
    <w:rsid w:val="3E2E0DB1"/>
    <w:rsid w:val="3E391743"/>
    <w:rsid w:val="3E4660FB"/>
    <w:rsid w:val="3E612F34"/>
    <w:rsid w:val="3E614CE2"/>
    <w:rsid w:val="3E66054B"/>
    <w:rsid w:val="3E6B3DB3"/>
    <w:rsid w:val="3E815385"/>
    <w:rsid w:val="3E8D3D29"/>
    <w:rsid w:val="3E9E7CE5"/>
    <w:rsid w:val="3EA352FB"/>
    <w:rsid w:val="3EAE5A4E"/>
    <w:rsid w:val="3EB76FF8"/>
    <w:rsid w:val="3EC55271"/>
    <w:rsid w:val="3ECB4852"/>
    <w:rsid w:val="3ED3555D"/>
    <w:rsid w:val="3ED74FA5"/>
    <w:rsid w:val="3EE661C2"/>
    <w:rsid w:val="3EFC4A0B"/>
    <w:rsid w:val="3EFD0EAF"/>
    <w:rsid w:val="3F0264C5"/>
    <w:rsid w:val="3F057D64"/>
    <w:rsid w:val="3F067638"/>
    <w:rsid w:val="3F0B4C4E"/>
    <w:rsid w:val="3F125C5D"/>
    <w:rsid w:val="3F214472"/>
    <w:rsid w:val="3F2268A2"/>
    <w:rsid w:val="3F2D1069"/>
    <w:rsid w:val="3F312907"/>
    <w:rsid w:val="3F444266"/>
    <w:rsid w:val="3F732F1F"/>
    <w:rsid w:val="3F740A45"/>
    <w:rsid w:val="3F770324"/>
    <w:rsid w:val="3F7D500C"/>
    <w:rsid w:val="3F7E3672"/>
    <w:rsid w:val="3F942E96"/>
    <w:rsid w:val="3FAF1A7E"/>
    <w:rsid w:val="3FC76DC7"/>
    <w:rsid w:val="3FE756BB"/>
    <w:rsid w:val="400E49F6"/>
    <w:rsid w:val="401069C0"/>
    <w:rsid w:val="401C5365"/>
    <w:rsid w:val="402E32EA"/>
    <w:rsid w:val="405D772B"/>
    <w:rsid w:val="40646D0C"/>
    <w:rsid w:val="40776A3F"/>
    <w:rsid w:val="4078152A"/>
    <w:rsid w:val="408D6263"/>
    <w:rsid w:val="408E20F6"/>
    <w:rsid w:val="40AD420F"/>
    <w:rsid w:val="40BA4B7E"/>
    <w:rsid w:val="40C17CBA"/>
    <w:rsid w:val="40CB6D8B"/>
    <w:rsid w:val="40E340D5"/>
    <w:rsid w:val="40F77B80"/>
    <w:rsid w:val="40FC5196"/>
    <w:rsid w:val="40FE0F0E"/>
    <w:rsid w:val="410A1661"/>
    <w:rsid w:val="41120516"/>
    <w:rsid w:val="41344930"/>
    <w:rsid w:val="41362456"/>
    <w:rsid w:val="414A7CB0"/>
    <w:rsid w:val="41586871"/>
    <w:rsid w:val="41594397"/>
    <w:rsid w:val="415E7BFF"/>
    <w:rsid w:val="416F3BBA"/>
    <w:rsid w:val="417E5BAB"/>
    <w:rsid w:val="41847666"/>
    <w:rsid w:val="418A4550"/>
    <w:rsid w:val="418F600A"/>
    <w:rsid w:val="418F7DB9"/>
    <w:rsid w:val="41955799"/>
    <w:rsid w:val="41C51A2C"/>
    <w:rsid w:val="41D659E7"/>
    <w:rsid w:val="41DB2FFE"/>
    <w:rsid w:val="41FF6CEC"/>
    <w:rsid w:val="42004812"/>
    <w:rsid w:val="421F738E"/>
    <w:rsid w:val="422360E9"/>
    <w:rsid w:val="422C3859"/>
    <w:rsid w:val="42332E3A"/>
    <w:rsid w:val="423C1CEE"/>
    <w:rsid w:val="42415557"/>
    <w:rsid w:val="425132C0"/>
    <w:rsid w:val="42577480"/>
    <w:rsid w:val="42593309"/>
    <w:rsid w:val="42976F25"/>
    <w:rsid w:val="42982C9D"/>
    <w:rsid w:val="429F402B"/>
    <w:rsid w:val="42CD0B98"/>
    <w:rsid w:val="42D068DB"/>
    <w:rsid w:val="42D812EB"/>
    <w:rsid w:val="42DA32B5"/>
    <w:rsid w:val="42DC702D"/>
    <w:rsid w:val="42E12896"/>
    <w:rsid w:val="42F02AD9"/>
    <w:rsid w:val="42F56341"/>
    <w:rsid w:val="43087E22"/>
    <w:rsid w:val="430D71E7"/>
    <w:rsid w:val="431247FD"/>
    <w:rsid w:val="431E13F4"/>
    <w:rsid w:val="43302ED5"/>
    <w:rsid w:val="43374264"/>
    <w:rsid w:val="435B43F6"/>
    <w:rsid w:val="43617533"/>
    <w:rsid w:val="436C6603"/>
    <w:rsid w:val="43B14016"/>
    <w:rsid w:val="43B27D8E"/>
    <w:rsid w:val="43B34232"/>
    <w:rsid w:val="43D1290A"/>
    <w:rsid w:val="43D83C99"/>
    <w:rsid w:val="43F16B09"/>
    <w:rsid w:val="440202B5"/>
    <w:rsid w:val="44170B63"/>
    <w:rsid w:val="44223166"/>
    <w:rsid w:val="44290050"/>
    <w:rsid w:val="442A3DC9"/>
    <w:rsid w:val="442A5B77"/>
    <w:rsid w:val="443F1622"/>
    <w:rsid w:val="44476729"/>
    <w:rsid w:val="44550E45"/>
    <w:rsid w:val="445552E9"/>
    <w:rsid w:val="445B21D4"/>
    <w:rsid w:val="446077EA"/>
    <w:rsid w:val="44654E01"/>
    <w:rsid w:val="447C0AC8"/>
    <w:rsid w:val="448160DE"/>
    <w:rsid w:val="44817E8C"/>
    <w:rsid w:val="448E25A9"/>
    <w:rsid w:val="44A122DD"/>
    <w:rsid w:val="44A41DCD"/>
    <w:rsid w:val="44A57C2A"/>
    <w:rsid w:val="44B518E4"/>
    <w:rsid w:val="44BF09B5"/>
    <w:rsid w:val="44C10289"/>
    <w:rsid w:val="44D02BC2"/>
    <w:rsid w:val="44E4666D"/>
    <w:rsid w:val="45086B29"/>
    <w:rsid w:val="45244CBC"/>
    <w:rsid w:val="452B1BA6"/>
    <w:rsid w:val="45312112"/>
    <w:rsid w:val="45404FBA"/>
    <w:rsid w:val="454809AA"/>
    <w:rsid w:val="45611A6C"/>
    <w:rsid w:val="45684BA8"/>
    <w:rsid w:val="45886FF9"/>
    <w:rsid w:val="459B4F7E"/>
    <w:rsid w:val="45A32084"/>
    <w:rsid w:val="45B24076"/>
    <w:rsid w:val="45BB73CE"/>
    <w:rsid w:val="45DE130F"/>
    <w:rsid w:val="45E05087"/>
    <w:rsid w:val="45EB152D"/>
    <w:rsid w:val="45EC3A2B"/>
    <w:rsid w:val="463B22BD"/>
    <w:rsid w:val="465B64BB"/>
    <w:rsid w:val="465F41FD"/>
    <w:rsid w:val="466E2692"/>
    <w:rsid w:val="467C3085"/>
    <w:rsid w:val="467D4684"/>
    <w:rsid w:val="467F21AA"/>
    <w:rsid w:val="468679DC"/>
    <w:rsid w:val="46945A20"/>
    <w:rsid w:val="46A41C10"/>
    <w:rsid w:val="46A667E2"/>
    <w:rsid w:val="46AC31BB"/>
    <w:rsid w:val="46BF2EEE"/>
    <w:rsid w:val="46C027C2"/>
    <w:rsid w:val="46C11D22"/>
    <w:rsid w:val="46D5626E"/>
    <w:rsid w:val="46DA3884"/>
    <w:rsid w:val="46DD5122"/>
    <w:rsid w:val="46EC35B7"/>
    <w:rsid w:val="47044DA5"/>
    <w:rsid w:val="470703F1"/>
    <w:rsid w:val="470C7161"/>
    <w:rsid w:val="47170634"/>
    <w:rsid w:val="4734568A"/>
    <w:rsid w:val="473E02B7"/>
    <w:rsid w:val="47431429"/>
    <w:rsid w:val="474B2C67"/>
    <w:rsid w:val="4750664E"/>
    <w:rsid w:val="475E6263"/>
    <w:rsid w:val="47632597"/>
    <w:rsid w:val="47655843"/>
    <w:rsid w:val="476A2E5A"/>
    <w:rsid w:val="477261B2"/>
    <w:rsid w:val="47941C85"/>
    <w:rsid w:val="47AD2D46"/>
    <w:rsid w:val="47C06F1E"/>
    <w:rsid w:val="47CD5197"/>
    <w:rsid w:val="47DB5B06"/>
    <w:rsid w:val="47E32C0C"/>
    <w:rsid w:val="48027536"/>
    <w:rsid w:val="48052B82"/>
    <w:rsid w:val="48147269"/>
    <w:rsid w:val="481728B6"/>
    <w:rsid w:val="48180B08"/>
    <w:rsid w:val="482C6F4F"/>
    <w:rsid w:val="483671E0"/>
    <w:rsid w:val="48457423"/>
    <w:rsid w:val="48474F49"/>
    <w:rsid w:val="4851401A"/>
    <w:rsid w:val="48627FD5"/>
    <w:rsid w:val="48657AC5"/>
    <w:rsid w:val="488066AD"/>
    <w:rsid w:val="48A26623"/>
    <w:rsid w:val="48BB1493"/>
    <w:rsid w:val="48C60564"/>
    <w:rsid w:val="48D52555"/>
    <w:rsid w:val="48EE1869"/>
    <w:rsid w:val="48F36E7F"/>
    <w:rsid w:val="48FA020D"/>
    <w:rsid w:val="49177011"/>
    <w:rsid w:val="49267254"/>
    <w:rsid w:val="495D254A"/>
    <w:rsid w:val="496438D9"/>
    <w:rsid w:val="49675177"/>
    <w:rsid w:val="496F0BFB"/>
    <w:rsid w:val="4970227E"/>
    <w:rsid w:val="49746212"/>
    <w:rsid w:val="497E0E3E"/>
    <w:rsid w:val="49975A5C"/>
    <w:rsid w:val="499A379E"/>
    <w:rsid w:val="49AB775A"/>
    <w:rsid w:val="49CD147E"/>
    <w:rsid w:val="49D071C0"/>
    <w:rsid w:val="49D4280C"/>
    <w:rsid w:val="49DB003F"/>
    <w:rsid w:val="49EA0BB5"/>
    <w:rsid w:val="49F11610"/>
    <w:rsid w:val="4A080708"/>
    <w:rsid w:val="4A111CB3"/>
    <w:rsid w:val="4A393180"/>
    <w:rsid w:val="4A471230"/>
    <w:rsid w:val="4A655B5A"/>
    <w:rsid w:val="4A761B16"/>
    <w:rsid w:val="4A7638C4"/>
    <w:rsid w:val="4A7E09CA"/>
    <w:rsid w:val="4A987CDE"/>
    <w:rsid w:val="4AC00FE3"/>
    <w:rsid w:val="4AC37A7F"/>
    <w:rsid w:val="4AC76815"/>
    <w:rsid w:val="4ACE3700"/>
    <w:rsid w:val="4AD52CE0"/>
    <w:rsid w:val="4AD54A8E"/>
    <w:rsid w:val="4AE747C1"/>
    <w:rsid w:val="4AF018C8"/>
    <w:rsid w:val="4AF34F14"/>
    <w:rsid w:val="4AFB026D"/>
    <w:rsid w:val="4B0104A6"/>
    <w:rsid w:val="4B0709C0"/>
    <w:rsid w:val="4B1B26BD"/>
    <w:rsid w:val="4B217CD3"/>
    <w:rsid w:val="4B3A6FE7"/>
    <w:rsid w:val="4B3C4B0D"/>
    <w:rsid w:val="4B5D4A84"/>
    <w:rsid w:val="4B693428"/>
    <w:rsid w:val="4B7324F9"/>
    <w:rsid w:val="4B7D0C82"/>
    <w:rsid w:val="4B8A1D1C"/>
    <w:rsid w:val="4B9F509C"/>
    <w:rsid w:val="4BA426B2"/>
    <w:rsid w:val="4BA97CC9"/>
    <w:rsid w:val="4BB26B7D"/>
    <w:rsid w:val="4BB723E6"/>
    <w:rsid w:val="4BCB5E91"/>
    <w:rsid w:val="4BCF5981"/>
    <w:rsid w:val="4BDB2578"/>
    <w:rsid w:val="4BE56F53"/>
    <w:rsid w:val="4BED22AB"/>
    <w:rsid w:val="4BFB49C8"/>
    <w:rsid w:val="4C06511B"/>
    <w:rsid w:val="4C0B44E0"/>
    <w:rsid w:val="4C104A1F"/>
    <w:rsid w:val="4C12586E"/>
    <w:rsid w:val="4C15710C"/>
    <w:rsid w:val="4C39729F"/>
    <w:rsid w:val="4C4243A5"/>
    <w:rsid w:val="4C567E51"/>
    <w:rsid w:val="4C6065D9"/>
    <w:rsid w:val="4C6267F5"/>
    <w:rsid w:val="4C927852"/>
    <w:rsid w:val="4CA54934"/>
    <w:rsid w:val="4CAA1F4A"/>
    <w:rsid w:val="4CBD57DA"/>
    <w:rsid w:val="4CCC1EC1"/>
    <w:rsid w:val="4CDB65A8"/>
    <w:rsid w:val="4CDF054A"/>
    <w:rsid w:val="4CF17B79"/>
    <w:rsid w:val="4CF84A64"/>
    <w:rsid w:val="4CFB09F8"/>
    <w:rsid w:val="4CFB27A6"/>
    <w:rsid w:val="4CFB4554"/>
    <w:rsid w:val="4D115B26"/>
    <w:rsid w:val="4D1A70D0"/>
    <w:rsid w:val="4D267823"/>
    <w:rsid w:val="4D2F41FE"/>
    <w:rsid w:val="4D4128AF"/>
    <w:rsid w:val="4D41465D"/>
    <w:rsid w:val="4D4E6D7A"/>
    <w:rsid w:val="4D5123C6"/>
    <w:rsid w:val="4D5A3970"/>
    <w:rsid w:val="4D6420F9"/>
    <w:rsid w:val="4D665E71"/>
    <w:rsid w:val="4D697710"/>
    <w:rsid w:val="4D6E2F78"/>
    <w:rsid w:val="4D7F33D7"/>
    <w:rsid w:val="4D8046B5"/>
    <w:rsid w:val="4D830C29"/>
    <w:rsid w:val="4D92310A"/>
    <w:rsid w:val="4DB017E2"/>
    <w:rsid w:val="4DC25072"/>
    <w:rsid w:val="4DC42B98"/>
    <w:rsid w:val="4DC86B2C"/>
    <w:rsid w:val="4DD70B1D"/>
    <w:rsid w:val="4DDA685F"/>
    <w:rsid w:val="4DE82D2A"/>
    <w:rsid w:val="4DF47921"/>
    <w:rsid w:val="4E1E7941"/>
    <w:rsid w:val="4E241889"/>
    <w:rsid w:val="4E265601"/>
    <w:rsid w:val="4E28581D"/>
    <w:rsid w:val="4E2B2C17"/>
    <w:rsid w:val="4E2B70BB"/>
    <w:rsid w:val="4E2F6BAB"/>
    <w:rsid w:val="4E30022D"/>
    <w:rsid w:val="4E361CE8"/>
    <w:rsid w:val="4E3C3076"/>
    <w:rsid w:val="4E4A7BBA"/>
    <w:rsid w:val="4E622175"/>
    <w:rsid w:val="4E6A373F"/>
    <w:rsid w:val="4E8A3DE2"/>
    <w:rsid w:val="4E93713A"/>
    <w:rsid w:val="4E946A0E"/>
    <w:rsid w:val="4E9E163B"/>
    <w:rsid w:val="4E9E788D"/>
    <w:rsid w:val="4E9F6F73"/>
    <w:rsid w:val="4EA053B3"/>
    <w:rsid w:val="4EA50C1B"/>
    <w:rsid w:val="4EAA7FE0"/>
    <w:rsid w:val="4EEF1E97"/>
    <w:rsid w:val="4EF61477"/>
    <w:rsid w:val="4EF676C9"/>
    <w:rsid w:val="4EFE20DA"/>
    <w:rsid w:val="4F0E056F"/>
    <w:rsid w:val="4F147B4F"/>
    <w:rsid w:val="4F1D6A04"/>
    <w:rsid w:val="4F29184C"/>
    <w:rsid w:val="4F2C4E99"/>
    <w:rsid w:val="4F351F9F"/>
    <w:rsid w:val="4F4246BC"/>
    <w:rsid w:val="4F49480A"/>
    <w:rsid w:val="4F512B51"/>
    <w:rsid w:val="4F6603AB"/>
    <w:rsid w:val="4F8D1DDB"/>
    <w:rsid w:val="4F9071D6"/>
    <w:rsid w:val="4F9111A0"/>
    <w:rsid w:val="4F950C90"/>
    <w:rsid w:val="4F9667B6"/>
    <w:rsid w:val="4FED4628"/>
    <w:rsid w:val="500E459E"/>
    <w:rsid w:val="500F0A42"/>
    <w:rsid w:val="501716A5"/>
    <w:rsid w:val="501A2F43"/>
    <w:rsid w:val="50371D47"/>
    <w:rsid w:val="50722D7F"/>
    <w:rsid w:val="508B0AA5"/>
    <w:rsid w:val="508D5E0B"/>
    <w:rsid w:val="50A0169A"/>
    <w:rsid w:val="50A078EC"/>
    <w:rsid w:val="50AA42C7"/>
    <w:rsid w:val="50B138A7"/>
    <w:rsid w:val="50ED0658"/>
    <w:rsid w:val="50FD4D3F"/>
    <w:rsid w:val="510D4856"/>
    <w:rsid w:val="5116195C"/>
    <w:rsid w:val="512027DB"/>
    <w:rsid w:val="512E4EF8"/>
    <w:rsid w:val="5144296E"/>
    <w:rsid w:val="514B3CFC"/>
    <w:rsid w:val="51711289"/>
    <w:rsid w:val="517843C5"/>
    <w:rsid w:val="5181771E"/>
    <w:rsid w:val="51842D6A"/>
    <w:rsid w:val="51937451"/>
    <w:rsid w:val="519B00B4"/>
    <w:rsid w:val="51CC4711"/>
    <w:rsid w:val="51D33CF1"/>
    <w:rsid w:val="51E25CE3"/>
    <w:rsid w:val="51E657D3"/>
    <w:rsid w:val="51E81276"/>
    <w:rsid w:val="51EB4B97"/>
    <w:rsid w:val="51F15F26"/>
    <w:rsid w:val="51FD48CA"/>
    <w:rsid w:val="52043EAB"/>
    <w:rsid w:val="5208399B"/>
    <w:rsid w:val="5244074B"/>
    <w:rsid w:val="52636E23"/>
    <w:rsid w:val="526D7CA2"/>
    <w:rsid w:val="526F3A1A"/>
    <w:rsid w:val="528F5286"/>
    <w:rsid w:val="529C2335"/>
    <w:rsid w:val="529E60AD"/>
    <w:rsid w:val="52A03BD4"/>
    <w:rsid w:val="52B15DE1"/>
    <w:rsid w:val="52BC29D7"/>
    <w:rsid w:val="52EB0BC7"/>
    <w:rsid w:val="52FE08FA"/>
    <w:rsid w:val="5308632E"/>
    <w:rsid w:val="530C5752"/>
    <w:rsid w:val="53195427"/>
    <w:rsid w:val="533B38FC"/>
    <w:rsid w:val="535350EA"/>
    <w:rsid w:val="53737169"/>
    <w:rsid w:val="537B2F74"/>
    <w:rsid w:val="53807561"/>
    <w:rsid w:val="538232D9"/>
    <w:rsid w:val="5385101B"/>
    <w:rsid w:val="538C23AA"/>
    <w:rsid w:val="53A414A2"/>
    <w:rsid w:val="53AB6CD4"/>
    <w:rsid w:val="53B65679"/>
    <w:rsid w:val="53C7045B"/>
    <w:rsid w:val="53D53D51"/>
    <w:rsid w:val="53F02939"/>
    <w:rsid w:val="53FF2B7C"/>
    <w:rsid w:val="540208BE"/>
    <w:rsid w:val="54065CB8"/>
    <w:rsid w:val="540B50FE"/>
    <w:rsid w:val="5415414D"/>
    <w:rsid w:val="54183C3E"/>
    <w:rsid w:val="541D21E1"/>
    <w:rsid w:val="542362A5"/>
    <w:rsid w:val="544762D1"/>
    <w:rsid w:val="544B5DC1"/>
    <w:rsid w:val="544D7D8B"/>
    <w:rsid w:val="5454111A"/>
    <w:rsid w:val="545C1D7C"/>
    <w:rsid w:val="547C241E"/>
    <w:rsid w:val="547E3542"/>
    <w:rsid w:val="54890697"/>
    <w:rsid w:val="548D63DA"/>
    <w:rsid w:val="54901A26"/>
    <w:rsid w:val="5495528E"/>
    <w:rsid w:val="54A13C33"/>
    <w:rsid w:val="54BA6EF9"/>
    <w:rsid w:val="54BC0A6D"/>
    <w:rsid w:val="54BE2B84"/>
    <w:rsid w:val="54C067AF"/>
    <w:rsid w:val="54CF69F2"/>
    <w:rsid w:val="54DA7145"/>
    <w:rsid w:val="54E029AD"/>
    <w:rsid w:val="54E27A5A"/>
    <w:rsid w:val="54EF3369"/>
    <w:rsid w:val="550A7A2A"/>
    <w:rsid w:val="55110DB9"/>
    <w:rsid w:val="553625CD"/>
    <w:rsid w:val="55393E6B"/>
    <w:rsid w:val="55413249"/>
    <w:rsid w:val="55747599"/>
    <w:rsid w:val="557C7E48"/>
    <w:rsid w:val="557D01FC"/>
    <w:rsid w:val="557E3F74"/>
    <w:rsid w:val="55825812"/>
    <w:rsid w:val="558C043F"/>
    <w:rsid w:val="558E2409"/>
    <w:rsid w:val="55937A20"/>
    <w:rsid w:val="55943798"/>
    <w:rsid w:val="55BD4A9D"/>
    <w:rsid w:val="55C0458D"/>
    <w:rsid w:val="55D41DE6"/>
    <w:rsid w:val="55D818D6"/>
    <w:rsid w:val="55E22755"/>
    <w:rsid w:val="55EF668D"/>
    <w:rsid w:val="55FD133D"/>
    <w:rsid w:val="55FF6E63"/>
    <w:rsid w:val="560C1580"/>
    <w:rsid w:val="560E354A"/>
    <w:rsid w:val="56130B60"/>
    <w:rsid w:val="56156687"/>
    <w:rsid w:val="56256BD9"/>
    <w:rsid w:val="56350AD7"/>
    <w:rsid w:val="56530F5D"/>
    <w:rsid w:val="565371AF"/>
    <w:rsid w:val="56644F18"/>
    <w:rsid w:val="566711F4"/>
    <w:rsid w:val="566E5DAA"/>
    <w:rsid w:val="56794E67"/>
    <w:rsid w:val="567C3952"/>
    <w:rsid w:val="56890E23"/>
    <w:rsid w:val="56955A19"/>
    <w:rsid w:val="569C6DA8"/>
    <w:rsid w:val="56A2695E"/>
    <w:rsid w:val="56A60E36"/>
    <w:rsid w:val="56B55774"/>
    <w:rsid w:val="56B57E6A"/>
    <w:rsid w:val="56BC4D54"/>
    <w:rsid w:val="56C02A96"/>
    <w:rsid w:val="56D4209E"/>
    <w:rsid w:val="56D8506C"/>
    <w:rsid w:val="56E322E1"/>
    <w:rsid w:val="56E61DD1"/>
    <w:rsid w:val="571B7CCD"/>
    <w:rsid w:val="573568B4"/>
    <w:rsid w:val="57437223"/>
    <w:rsid w:val="574A05B2"/>
    <w:rsid w:val="57596A47"/>
    <w:rsid w:val="57727B09"/>
    <w:rsid w:val="57825F9E"/>
    <w:rsid w:val="578735B4"/>
    <w:rsid w:val="578F2469"/>
    <w:rsid w:val="57A001D2"/>
    <w:rsid w:val="57A04676"/>
    <w:rsid w:val="57A557E8"/>
    <w:rsid w:val="57C77E54"/>
    <w:rsid w:val="57C87729"/>
    <w:rsid w:val="57D83E10"/>
    <w:rsid w:val="57DB745C"/>
    <w:rsid w:val="57EC3417"/>
    <w:rsid w:val="57EE0EDB"/>
    <w:rsid w:val="58006EC2"/>
    <w:rsid w:val="5814296E"/>
    <w:rsid w:val="58164938"/>
    <w:rsid w:val="583A0626"/>
    <w:rsid w:val="58490869"/>
    <w:rsid w:val="584B45E2"/>
    <w:rsid w:val="58533496"/>
    <w:rsid w:val="586112C3"/>
    <w:rsid w:val="58694A68"/>
    <w:rsid w:val="587324F6"/>
    <w:rsid w:val="58773629"/>
    <w:rsid w:val="5878114F"/>
    <w:rsid w:val="58782EFD"/>
    <w:rsid w:val="587873A1"/>
    <w:rsid w:val="588B2C30"/>
    <w:rsid w:val="58A12453"/>
    <w:rsid w:val="58A41D75"/>
    <w:rsid w:val="58A61818"/>
    <w:rsid w:val="58B008E9"/>
    <w:rsid w:val="58B33F35"/>
    <w:rsid w:val="58DA7713"/>
    <w:rsid w:val="58E84AF7"/>
    <w:rsid w:val="58F9403E"/>
    <w:rsid w:val="59084281"/>
    <w:rsid w:val="590E560F"/>
    <w:rsid w:val="59154BEF"/>
    <w:rsid w:val="592014A1"/>
    <w:rsid w:val="59372BE6"/>
    <w:rsid w:val="594A6647"/>
    <w:rsid w:val="596516D3"/>
    <w:rsid w:val="59653481"/>
    <w:rsid w:val="596671F9"/>
    <w:rsid w:val="596B480F"/>
    <w:rsid w:val="59796F2C"/>
    <w:rsid w:val="597B0EF6"/>
    <w:rsid w:val="59927FEE"/>
    <w:rsid w:val="59941FB8"/>
    <w:rsid w:val="59951B51"/>
    <w:rsid w:val="599E6993"/>
    <w:rsid w:val="59A3044D"/>
    <w:rsid w:val="59A321FB"/>
    <w:rsid w:val="59A55F73"/>
    <w:rsid w:val="59A65848"/>
    <w:rsid w:val="59A87812"/>
    <w:rsid w:val="59AC7302"/>
    <w:rsid w:val="59AF6DF2"/>
    <w:rsid w:val="59B61F2F"/>
    <w:rsid w:val="59C04B5B"/>
    <w:rsid w:val="59DF7A3D"/>
    <w:rsid w:val="59F12F67"/>
    <w:rsid w:val="5A054C64"/>
    <w:rsid w:val="5A1629CD"/>
    <w:rsid w:val="5A225816"/>
    <w:rsid w:val="5A2A0227"/>
    <w:rsid w:val="5A2D426E"/>
    <w:rsid w:val="5A4237C2"/>
    <w:rsid w:val="5A67147B"/>
    <w:rsid w:val="5A6B0F6B"/>
    <w:rsid w:val="5A7D2A4C"/>
    <w:rsid w:val="5A897643"/>
    <w:rsid w:val="5A8B33BB"/>
    <w:rsid w:val="5A971D60"/>
    <w:rsid w:val="5AA93841"/>
    <w:rsid w:val="5AAB580B"/>
    <w:rsid w:val="5AC93EE4"/>
    <w:rsid w:val="5AD54636"/>
    <w:rsid w:val="5AD703AE"/>
    <w:rsid w:val="5AE14D89"/>
    <w:rsid w:val="5AE42ACB"/>
    <w:rsid w:val="5AE900E2"/>
    <w:rsid w:val="5AED7BD2"/>
    <w:rsid w:val="5AF820D3"/>
    <w:rsid w:val="5AFF3461"/>
    <w:rsid w:val="5B0171D9"/>
    <w:rsid w:val="5B04316E"/>
    <w:rsid w:val="5B155B43"/>
    <w:rsid w:val="5B1560D1"/>
    <w:rsid w:val="5B172EA1"/>
    <w:rsid w:val="5B1A64ED"/>
    <w:rsid w:val="5B241A3E"/>
    <w:rsid w:val="5B242EC8"/>
    <w:rsid w:val="5B24736C"/>
    <w:rsid w:val="5B324092"/>
    <w:rsid w:val="5B3A26EB"/>
    <w:rsid w:val="5B433C96"/>
    <w:rsid w:val="5B5437AD"/>
    <w:rsid w:val="5B637E94"/>
    <w:rsid w:val="5B653C0C"/>
    <w:rsid w:val="5B7C0F56"/>
    <w:rsid w:val="5B7C4AB2"/>
    <w:rsid w:val="5B8A71CF"/>
    <w:rsid w:val="5B8F47E5"/>
    <w:rsid w:val="5BA02E96"/>
    <w:rsid w:val="5BA50348"/>
    <w:rsid w:val="5BD42B40"/>
    <w:rsid w:val="5BD743DE"/>
    <w:rsid w:val="5BE82147"/>
    <w:rsid w:val="5BFC5BF3"/>
    <w:rsid w:val="5C07081F"/>
    <w:rsid w:val="5C0A47B4"/>
    <w:rsid w:val="5C190553"/>
    <w:rsid w:val="5C2C472A"/>
    <w:rsid w:val="5C2D3FFE"/>
    <w:rsid w:val="5C317F92"/>
    <w:rsid w:val="5C3A6E47"/>
    <w:rsid w:val="5C3B3C09"/>
    <w:rsid w:val="5C4750C0"/>
    <w:rsid w:val="5C524E69"/>
    <w:rsid w:val="5C53076B"/>
    <w:rsid w:val="5C642116"/>
    <w:rsid w:val="5C71213D"/>
    <w:rsid w:val="5C853E3A"/>
    <w:rsid w:val="5CB00EB7"/>
    <w:rsid w:val="5CB62246"/>
    <w:rsid w:val="5CBC5AAE"/>
    <w:rsid w:val="5CD01559"/>
    <w:rsid w:val="5CD821BC"/>
    <w:rsid w:val="5CFF3BED"/>
    <w:rsid w:val="5D080CF3"/>
    <w:rsid w:val="5D4810F0"/>
    <w:rsid w:val="5D4F6922"/>
    <w:rsid w:val="5D535CE6"/>
    <w:rsid w:val="5D59154F"/>
    <w:rsid w:val="5D6879E4"/>
    <w:rsid w:val="5DA12EF6"/>
    <w:rsid w:val="5DA86032"/>
    <w:rsid w:val="5DBB5D65"/>
    <w:rsid w:val="5DCF1811"/>
    <w:rsid w:val="5DD62B9F"/>
    <w:rsid w:val="5DDE1A54"/>
    <w:rsid w:val="5DE03A1E"/>
    <w:rsid w:val="5DEA21A7"/>
    <w:rsid w:val="5E0314BA"/>
    <w:rsid w:val="5E0C4813"/>
    <w:rsid w:val="5E1611EE"/>
    <w:rsid w:val="5E176D14"/>
    <w:rsid w:val="5E1B2CA8"/>
    <w:rsid w:val="5E1D07CE"/>
    <w:rsid w:val="5E1E4546"/>
    <w:rsid w:val="5E227B93"/>
    <w:rsid w:val="5E3B6EA6"/>
    <w:rsid w:val="5E671A49"/>
    <w:rsid w:val="5E724251"/>
    <w:rsid w:val="5E9B5B97"/>
    <w:rsid w:val="5EB6477F"/>
    <w:rsid w:val="5EBB1D95"/>
    <w:rsid w:val="5EBD3D5F"/>
    <w:rsid w:val="5ED54C05"/>
    <w:rsid w:val="5ED6097D"/>
    <w:rsid w:val="5EF17565"/>
    <w:rsid w:val="5EF37781"/>
    <w:rsid w:val="5F092B01"/>
    <w:rsid w:val="5F17346F"/>
    <w:rsid w:val="5F1871E8"/>
    <w:rsid w:val="5F1D47FE"/>
    <w:rsid w:val="5F334021"/>
    <w:rsid w:val="5F3D09FC"/>
    <w:rsid w:val="5F465B03"/>
    <w:rsid w:val="5F4973A1"/>
    <w:rsid w:val="5F531FCE"/>
    <w:rsid w:val="5F5D5D64"/>
    <w:rsid w:val="5F677827"/>
    <w:rsid w:val="5F685A79"/>
    <w:rsid w:val="5F864151"/>
    <w:rsid w:val="5F8E5468"/>
    <w:rsid w:val="5FA10F8B"/>
    <w:rsid w:val="5FA34D03"/>
    <w:rsid w:val="5FAF18FA"/>
    <w:rsid w:val="5FDE21DF"/>
    <w:rsid w:val="5FF23595"/>
    <w:rsid w:val="600D03CE"/>
    <w:rsid w:val="60107EBF"/>
    <w:rsid w:val="6017124D"/>
    <w:rsid w:val="60234553"/>
    <w:rsid w:val="602A5424"/>
    <w:rsid w:val="60402552"/>
    <w:rsid w:val="6042451C"/>
    <w:rsid w:val="604638E0"/>
    <w:rsid w:val="60483AFC"/>
    <w:rsid w:val="605204D7"/>
    <w:rsid w:val="606C77EB"/>
    <w:rsid w:val="60A70823"/>
    <w:rsid w:val="60A76A75"/>
    <w:rsid w:val="60AA0313"/>
    <w:rsid w:val="60D64C64"/>
    <w:rsid w:val="60D94755"/>
    <w:rsid w:val="60DD2497"/>
    <w:rsid w:val="60DD5FF3"/>
    <w:rsid w:val="60F375C4"/>
    <w:rsid w:val="6105554A"/>
    <w:rsid w:val="610E2650"/>
    <w:rsid w:val="61161505"/>
    <w:rsid w:val="612E5217"/>
    <w:rsid w:val="6138591F"/>
    <w:rsid w:val="61447E20"/>
    <w:rsid w:val="614B38A4"/>
    <w:rsid w:val="614E5143"/>
    <w:rsid w:val="61796113"/>
    <w:rsid w:val="617D1584"/>
    <w:rsid w:val="61811074"/>
    <w:rsid w:val="618E553F"/>
    <w:rsid w:val="61905EB4"/>
    <w:rsid w:val="61BC20AC"/>
    <w:rsid w:val="61BF1B9C"/>
    <w:rsid w:val="61D54F1C"/>
    <w:rsid w:val="61D94A0C"/>
    <w:rsid w:val="61E635CD"/>
    <w:rsid w:val="61EE5FDE"/>
    <w:rsid w:val="61F061FA"/>
    <w:rsid w:val="61F47A98"/>
    <w:rsid w:val="61FB0E26"/>
    <w:rsid w:val="62013F63"/>
    <w:rsid w:val="62083543"/>
    <w:rsid w:val="621719D8"/>
    <w:rsid w:val="621A5025"/>
    <w:rsid w:val="62377985"/>
    <w:rsid w:val="624520A2"/>
    <w:rsid w:val="624B3430"/>
    <w:rsid w:val="624F1172"/>
    <w:rsid w:val="62683FE2"/>
    <w:rsid w:val="626A0E3A"/>
    <w:rsid w:val="626D15F8"/>
    <w:rsid w:val="627E3805"/>
    <w:rsid w:val="62854B94"/>
    <w:rsid w:val="6292105F"/>
    <w:rsid w:val="62AA45FB"/>
    <w:rsid w:val="62AD7C47"/>
    <w:rsid w:val="62AF1C11"/>
    <w:rsid w:val="62B40FD5"/>
    <w:rsid w:val="62CF4061"/>
    <w:rsid w:val="62DB47B4"/>
    <w:rsid w:val="62E21FE6"/>
    <w:rsid w:val="62EC69C1"/>
    <w:rsid w:val="62EE44E7"/>
    <w:rsid w:val="62F615EE"/>
    <w:rsid w:val="63043D0B"/>
    <w:rsid w:val="630737FB"/>
    <w:rsid w:val="63260125"/>
    <w:rsid w:val="633F2108"/>
    <w:rsid w:val="63473BF7"/>
    <w:rsid w:val="63576530"/>
    <w:rsid w:val="635A553F"/>
    <w:rsid w:val="63666773"/>
    <w:rsid w:val="63807109"/>
    <w:rsid w:val="63970592"/>
    <w:rsid w:val="63A460E4"/>
    <w:rsid w:val="63AE31D4"/>
    <w:rsid w:val="63B05C41"/>
    <w:rsid w:val="63B74AF8"/>
    <w:rsid w:val="63BA086D"/>
    <w:rsid w:val="63CC234F"/>
    <w:rsid w:val="63D538F9"/>
    <w:rsid w:val="63D80CF3"/>
    <w:rsid w:val="63DC07E4"/>
    <w:rsid w:val="63E8362C"/>
    <w:rsid w:val="63FC0E86"/>
    <w:rsid w:val="63FD075A"/>
    <w:rsid w:val="640815D9"/>
    <w:rsid w:val="64283A29"/>
    <w:rsid w:val="642B52C7"/>
    <w:rsid w:val="64346872"/>
    <w:rsid w:val="64432611"/>
    <w:rsid w:val="644665A5"/>
    <w:rsid w:val="646A5DEF"/>
    <w:rsid w:val="646D58E0"/>
    <w:rsid w:val="64833355"/>
    <w:rsid w:val="64852C29"/>
    <w:rsid w:val="649E018F"/>
    <w:rsid w:val="64B259E8"/>
    <w:rsid w:val="64B928D3"/>
    <w:rsid w:val="64BB664B"/>
    <w:rsid w:val="64C37BF6"/>
    <w:rsid w:val="64CC6F37"/>
    <w:rsid w:val="64D8544F"/>
    <w:rsid w:val="64EE4C72"/>
    <w:rsid w:val="64FC3B07"/>
    <w:rsid w:val="64FD6C64"/>
    <w:rsid w:val="65071890"/>
    <w:rsid w:val="650E70C3"/>
    <w:rsid w:val="650F6997"/>
    <w:rsid w:val="651421FF"/>
    <w:rsid w:val="651B17E0"/>
    <w:rsid w:val="651D7306"/>
    <w:rsid w:val="6522491C"/>
    <w:rsid w:val="652A37D1"/>
    <w:rsid w:val="65336B29"/>
    <w:rsid w:val="6535464F"/>
    <w:rsid w:val="65530F79"/>
    <w:rsid w:val="65546448"/>
    <w:rsid w:val="655F791E"/>
    <w:rsid w:val="65640A91"/>
    <w:rsid w:val="65646CE3"/>
    <w:rsid w:val="657038D9"/>
    <w:rsid w:val="65750EF0"/>
    <w:rsid w:val="657A4758"/>
    <w:rsid w:val="65842EE1"/>
    <w:rsid w:val="65847385"/>
    <w:rsid w:val="65870C23"/>
    <w:rsid w:val="659C5CC3"/>
    <w:rsid w:val="65B85280"/>
    <w:rsid w:val="65C6799D"/>
    <w:rsid w:val="65DF280D"/>
    <w:rsid w:val="65F57932"/>
    <w:rsid w:val="65FA31A3"/>
    <w:rsid w:val="66091638"/>
    <w:rsid w:val="660F30F2"/>
    <w:rsid w:val="662E109F"/>
    <w:rsid w:val="663743F7"/>
    <w:rsid w:val="66432D9C"/>
    <w:rsid w:val="66482160"/>
    <w:rsid w:val="66495ED8"/>
    <w:rsid w:val="66521231"/>
    <w:rsid w:val="66576847"/>
    <w:rsid w:val="66660838"/>
    <w:rsid w:val="666B5E4F"/>
    <w:rsid w:val="66754F1F"/>
    <w:rsid w:val="668313EA"/>
    <w:rsid w:val="66AD6206"/>
    <w:rsid w:val="66AF0431"/>
    <w:rsid w:val="66AF2C9C"/>
    <w:rsid w:val="66CD6B09"/>
    <w:rsid w:val="66E005EB"/>
    <w:rsid w:val="66ED4AB6"/>
    <w:rsid w:val="66EF082E"/>
    <w:rsid w:val="66F127F8"/>
    <w:rsid w:val="66F45E44"/>
    <w:rsid w:val="6703077D"/>
    <w:rsid w:val="670E33AA"/>
    <w:rsid w:val="670F0ED0"/>
    <w:rsid w:val="671309C0"/>
    <w:rsid w:val="671E1113"/>
    <w:rsid w:val="67226E55"/>
    <w:rsid w:val="672F3320"/>
    <w:rsid w:val="673821D5"/>
    <w:rsid w:val="673B1CC5"/>
    <w:rsid w:val="67550FD9"/>
    <w:rsid w:val="675D7E8D"/>
    <w:rsid w:val="6764121C"/>
    <w:rsid w:val="67650AF0"/>
    <w:rsid w:val="6773145F"/>
    <w:rsid w:val="67762CFD"/>
    <w:rsid w:val="677879E5"/>
    <w:rsid w:val="6784541A"/>
    <w:rsid w:val="67902011"/>
    <w:rsid w:val="679C2DC3"/>
    <w:rsid w:val="679D028A"/>
    <w:rsid w:val="67B53825"/>
    <w:rsid w:val="67CA4DF7"/>
    <w:rsid w:val="67D363A2"/>
    <w:rsid w:val="67D46EF3"/>
    <w:rsid w:val="67EA1404"/>
    <w:rsid w:val="67FF0F45"/>
    <w:rsid w:val="68032C2D"/>
    <w:rsid w:val="6808363E"/>
    <w:rsid w:val="681349F0"/>
    <w:rsid w:val="68242759"/>
    <w:rsid w:val="682664D1"/>
    <w:rsid w:val="68295FC1"/>
    <w:rsid w:val="682D5AB2"/>
    <w:rsid w:val="68386205"/>
    <w:rsid w:val="683C7AA3"/>
    <w:rsid w:val="68580655"/>
    <w:rsid w:val="6879721F"/>
    <w:rsid w:val="68AA7102"/>
    <w:rsid w:val="68BC0BE4"/>
    <w:rsid w:val="68C301C4"/>
    <w:rsid w:val="68CB0E27"/>
    <w:rsid w:val="68CC52CB"/>
    <w:rsid w:val="68D32C31"/>
    <w:rsid w:val="68D777CC"/>
    <w:rsid w:val="68E02B24"/>
    <w:rsid w:val="68F93E51"/>
    <w:rsid w:val="69140A20"/>
    <w:rsid w:val="69194288"/>
    <w:rsid w:val="69236DD6"/>
    <w:rsid w:val="69280027"/>
    <w:rsid w:val="692E7D33"/>
    <w:rsid w:val="69342E70"/>
    <w:rsid w:val="69362744"/>
    <w:rsid w:val="69382960"/>
    <w:rsid w:val="693F5E25"/>
    <w:rsid w:val="69472BA3"/>
    <w:rsid w:val="695B21AB"/>
    <w:rsid w:val="6965127B"/>
    <w:rsid w:val="696763D3"/>
    <w:rsid w:val="696C085C"/>
    <w:rsid w:val="69783816"/>
    <w:rsid w:val="697C2E5E"/>
    <w:rsid w:val="69801C11"/>
    <w:rsid w:val="69913E1E"/>
    <w:rsid w:val="699833FF"/>
    <w:rsid w:val="699B4C9D"/>
    <w:rsid w:val="69B1626F"/>
    <w:rsid w:val="69C02956"/>
    <w:rsid w:val="69C42446"/>
    <w:rsid w:val="69CA10DE"/>
    <w:rsid w:val="69CB37D4"/>
    <w:rsid w:val="69CE5072"/>
    <w:rsid w:val="69DB153D"/>
    <w:rsid w:val="6A002D52"/>
    <w:rsid w:val="6A072332"/>
    <w:rsid w:val="6A0740E0"/>
    <w:rsid w:val="6A1D3E00"/>
    <w:rsid w:val="6A1F142A"/>
    <w:rsid w:val="6A2B4273"/>
    <w:rsid w:val="6A3C6480"/>
    <w:rsid w:val="6A3F387A"/>
    <w:rsid w:val="6A40374C"/>
    <w:rsid w:val="6A527A52"/>
    <w:rsid w:val="6A681023"/>
    <w:rsid w:val="6A793230"/>
    <w:rsid w:val="6A8D0A8A"/>
    <w:rsid w:val="6A9446EE"/>
    <w:rsid w:val="6A971908"/>
    <w:rsid w:val="6AA33E09"/>
    <w:rsid w:val="6AC63F9C"/>
    <w:rsid w:val="6AC81AC2"/>
    <w:rsid w:val="6AD20B92"/>
    <w:rsid w:val="6AD62431"/>
    <w:rsid w:val="6AD761A9"/>
    <w:rsid w:val="6ADE3093"/>
    <w:rsid w:val="6AFB0AEC"/>
    <w:rsid w:val="6AFC5C0F"/>
    <w:rsid w:val="6B1E16E2"/>
    <w:rsid w:val="6B3E1D84"/>
    <w:rsid w:val="6B4E646B"/>
    <w:rsid w:val="6B67752D"/>
    <w:rsid w:val="6B6A0DCB"/>
    <w:rsid w:val="6B6D4417"/>
    <w:rsid w:val="6B740AAD"/>
    <w:rsid w:val="6B777044"/>
    <w:rsid w:val="6B7A7AE3"/>
    <w:rsid w:val="6BA240C1"/>
    <w:rsid w:val="6BA41E2C"/>
    <w:rsid w:val="6BA73DCD"/>
    <w:rsid w:val="6BA77929"/>
    <w:rsid w:val="6BB107A8"/>
    <w:rsid w:val="6BBA58AE"/>
    <w:rsid w:val="6BC02799"/>
    <w:rsid w:val="6BC22206"/>
    <w:rsid w:val="6BC73B27"/>
    <w:rsid w:val="6BC95AF1"/>
    <w:rsid w:val="6BD36970"/>
    <w:rsid w:val="6BD85D34"/>
    <w:rsid w:val="6BDD159D"/>
    <w:rsid w:val="6BE02E3B"/>
    <w:rsid w:val="6BE40B7D"/>
    <w:rsid w:val="6BEC7A32"/>
    <w:rsid w:val="6C00528B"/>
    <w:rsid w:val="6C0C3C30"/>
    <w:rsid w:val="6C0E1756"/>
    <w:rsid w:val="6C103720"/>
    <w:rsid w:val="6C117498"/>
    <w:rsid w:val="6C262F44"/>
    <w:rsid w:val="6C30791F"/>
    <w:rsid w:val="6C77379F"/>
    <w:rsid w:val="6C7F4402"/>
    <w:rsid w:val="6C922387"/>
    <w:rsid w:val="6C926C63"/>
    <w:rsid w:val="6C983716"/>
    <w:rsid w:val="6C9C6D62"/>
    <w:rsid w:val="6C9D2ADA"/>
    <w:rsid w:val="6CB56076"/>
    <w:rsid w:val="6CB57E24"/>
    <w:rsid w:val="6CC12C6C"/>
    <w:rsid w:val="6CD52274"/>
    <w:rsid w:val="6CDE381E"/>
    <w:rsid w:val="6CE64481"/>
    <w:rsid w:val="6CF070AE"/>
    <w:rsid w:val="6CF67FE8"/>
    <w:rsid w:val="6CF978C8"/>
    <w:rsid w:val="6D033B18"/>
    <w:rsid w:val="6D035033"/>
    <w:rsid w:val="6D0B213A"/>
    <w:rsid w:val="6D147240"/>
    <w:rsid w:val="6D192AA9"/>
    <w:rsid w:val="6D260D22"/>
    <w:rsid w:val="6D325918"/>
    <w:rsid w:val="6D3E606B"/>
    <w:rsid w:val="6D415B5B"/>
    <w:rsid w:val="6D521B17"/>
    <w:rsid w:val="6D5E495F"/>
    <w:rsid w:val="6D617FAC"/>
    <w:rsid w:val="6D631F76"/>
    <w:rsid w:val="6D657A9C"/>
    <w:rsid w:val="6D6A3304"/>
    <w:rsid w:val="6D7E290C"/>
    <w:rsid w:val="6D8048D6"/>
    <w:rsid w:val="6D855A48"/>
    <w:rsid w:val="6D8A305E"/>
    <w:rsid w:val="6D965EA7"/>
    <w:rsid w:val="6D967C55"/>
    <w:rsid w:val="6D9B2372"/>
    <w:rsid w:val="6DB225B5"/>
    <w:rsid w:val="6DB602F7"/>
    <w:rsid w:val="6DB8318D"/>
    <w:rsid w:val="6DC742B3"/>
    <w:rsid w:val="6DE309C1"/>
    <w:rsid w:val="6DEA7FA1"/>
    <w:rsid w:val="6DEE183F"/>
    <w:rsid w:val="6E0A419F"/>
    <w:rsid w:val="6E2C2368"/>
    <w:rsid w:val="6E3B3E98"/>
    <w:rsid w:val="6E407BC1"/>
    <w:rsid w:val="6E4F6056"/>
    <w:rsid w:val="6E5F273D"/>
    <w:rsid w:val="6E681AD6"/>
    <w:rsid w:val="6E6E0BD2"/>
    <w:rsid w:val="6E6E2980"/>
    <w:rsid w:val="6E8403F6"/>
    <w:rsid w:val="6E9248C1"/>
    <w:rsid w:val="6E9D3265"/>
    <w:rsid w:val="6EA13172"/>
    <w:rsid w:val="6EB04D47"/>
    <w:rsid w:val="6EBD1212"/>
    <w:rsid w:val="6ECD3B4B"/>
    <w:rsid w:val="6ED24CBD"/>
    <w:rsid w:val="6EE90259"/>
    <w:rsid w:val="6EEA194B"/>
    <w:rsid w:val="6EF015E7"/>
    <w:rsid w:val="6EFA4214"/>
    <w:rsid w:val="6EFC4430"/>
    <w:rsid w:val="6F084B83"/>
    <w:rsid w:val="6F213E96"/>
    <w:rsid w:val="6F2D283B"/>
    <w:rsid w:val="6F2F210F"/>
    <w:rsid w:val="6F457B85"/>
    <w:rsid w:val="6F4F27B2"/>
    <w:rsid w:val="6F651FD5"/>
    <w:rsid w:val="6F655550"/>
    <w:rsid w:val="6F71097A"/>
    <w:rsid w:val="6F7C731F"/>
    <w:rsid w:val="6FA523D2"/>
    <w:rsid w:val="6FA56875"/>
    <w:rsid w:val="6FC14D32"/>
    <w:rsid w:val="6FD35191"/>
    <w:rsid w:val="6FDE7692"/>
    <w:rsid w:val="6FE0165C"/>
    <w:rsid w:val="6FE078AE"/>
    <w:rsid w:val="6FF167B2"/>
    <w:rsid w:val="702C2AF3"/>
    <w:rsid w:val="7036127C"/>
    <w:rsid w:val="704F233D"/>
    <w:rsid w:val="705067E1"/>
    <w:rsid w:val="706109EE"/>
    <w:rsid w:val="70626515"/>
    <w:rsid w:val="7064228D"/>
    <w:rsid w:val="70645DE9"/>
    <w:rsid w:val="70651B61"/>
    <w:rsid w:val="70691651"/>
    <w:rsid w:val="706A53C9"/>
    <w:rsid w:val="707B75D6"/>
    <w:rsid w:val="70A628A5"/>
    <w:rsid w:val="70DA254F"/>
    <w:rsid w:val="70E77189"/>
    <w:rsid w:val="70F25AEA"/>
    <w:rsid w:val="70F33611"/>
    <w:rsid w:val="70F514DC"/>
    <w:rsid w:val="71072C18"/>
    <w:rsid w:val="71094BE2"/>
    <w:rsid w:val="71145A61"/>
    <w:rsid w:val="711517D9"/>
    <w:rsid w:val="71266FB1"/>
    <w:rsid w:val="712D267F"/>
    <w:rsid w:val="713003C1"/>
    <w:rsid w:val="714D2D21"/>
    <w:rsid w:val="71566079"/>
    <w:rsid w:val="71593474"/>
    <w:rsid w:val="715E6CDC"/>
    <w:rsid w:val="71752277"/>
    <w:rsid w:val="718A7AD1"/>
    <w:rsid w:val="71B0505E"/>
    <w:rsid w:val="71BB412E"/>
    <w:rsid w:val="71D15700"/>
    <w:rsid w:val="71D46F9E"/>
    <w:rsid w:val="71E847F7"/>
    <w:rsid w:val="71F53CD3"/>
    <w:rsid w:val="71F80EDE"/>
    <w:rsid w:val="7205184D"/>
    <w:rsid w:val="720553A9"/>
    <w:rsid w:val="72275320"/>
    <w:rsid w:val="72295B7C"/>
    <w:rsid w:val="723B0DCB"/>
    <w:rsid w:val="723B701D"/>
    <w:rsid w:val="72565C05"/>
    <w:rsid w:val="725D6F93"/>
    <w:rsid w:val="72600832"/>
    <w:rsid w:val="72604CD6"/>
    <w:rsid w:val="72691DDC"/>
    <w:rsid w:val="72695938"/>
    <w:rsid w:val="727147ED"/>
    <w:rsid w:val="727A5D97"/>
    <w:rsid w:val="72824C4C"/>
    <w:rsid w:val="728704B4"/>
    <w:rsid w:val="728D3298"/>
    <w:rsid w:val="728E35F1"/>
    <w:rsid w:val="728F1117"/>
    <w:rsid w:val="7298446F"/>
    <w:rsid w:val="729B5D0E"/>
    <w:rsid w:val="72A20E4A"/>
    <w:rsid w:val="72D336FA"/>
    <w:rsid w:val="72DF5BFA"/>
    <w:rsid w:val="73045661"/>
    <w:rsid w:val="73075151"/>
    <w:rsid w:val="73155AC0"/>
    <w:rsid w:val="73306456"/>
    <w:rsid w:val="73351CBE"/>
    <w:rsid w:val="733F0D8F"/>
    <w:rsid w:val="734C1E5C"/>
    <w:rsid w:val="736C6E5A"/>
    <w:rsid w:val="736F0F91"/>
    <w:rsid w:val="736F3422"/>
    <w:rsid w:val="737A5923"/>
    <w:rsid w:val="737C3CE1"/>
    <w:rsid w:val="73816CB2"/>
    <w:rsid w:val="73903399"/>
    <w:rsid w:val="739C1D3D"/>
    <w:rsid w:val="739C3589"/>
    <w:rsid w:val="73A82490"/>
    <w:rsid w:val="73B21561"/>
    <w:rsid w:val="73ED2599"/>
    <w:rsid w:val="740C6EC3"/>
    <w:rsid w:val="740F0761"/>
    <w:rsid w:val="74145D78"/>
    <w:rsid w:val="741E09A4"/>
    <w:rsid w:val="742064CB"/>
    <w:rsid w:val="742A6E77"/>
    <w:rsid w:val="746A1E3C"/>
    <w:rsid w:val="747B1953"/>
    <w:rsid w:val="74842EFD"/>
    <w:rsid w:val="74884070"/>
    <w:rsid w:val="74A23383"/>
    <w:rsid w:val="74AC5FB0"/>
    <w:rsid w:val="74B84955"/>
    <w:rsid w:val="74BA691F"/>
    <w:rsid w:val="74D6127F"/>
    <w:rsid w:val="74D6302D"/>
    <w:rsid w:val="74E31AB7"/>
    <w:rsid w:val="750556C0"/>
    <w:rsid w:val="752949C6"/>
    <w:rsid w:val="752E2E69"/>
    <w:rsid w:val="752E4C17"/>
    <w:rsid w:val="753E02ED"/>
    <w:rsid w:val="75483F2B"/>
    <w:rsid w:val="755F2CCE"/>
    <w:rsid w:val="75734D20"/>
    <w:rsid w:val="757840E4"/>
    <w:rsid w:val="758D193E"/>
    <w:rsid w:val="75A1345C"/>
    <w:rsid w:val="75AB6268"/>
    <w:rsid w:val="75CD2682"/>
    <w:rsid w:val="75E023B5"/>
    <w:rsid w:val="75E53965"/>
    <w:rsid w:val="75F145C2"/>
    <w:rsid w:val="75F714AD"/>
    <w:rsid w:val="75FC6AC3"/>
    <w:rsid w:val="76393874"/>
    <w:rsid w:val="764010A6"/>
    <w:rsid w:val="76404C02"/>
    <w:rsid w:val="764741E2"/>
    <w:rsid w:val="76650B0D"/>
    <w:rsid w:val="766A7ED1"/>
    <w:rsid w:val="767E572A"/>
    <w:rsid w:val="768F5B89"/>
    <w:rsid w:val="76A5715B"/>
    <w:rsid w:val="76B16BF0"/>
    <w:rsid w:val="76B949B4"/>
    <w:rsid w:val="76C43A85"/>
    <w:rsid w:val="76D0242A"/>
    <w:rsid w:val="76DE441B"/>
    <w:rsid w:val="76DF08BF"/>
    <w:rsid w:val="76E25CB9"/>
    <w:rsid w:val="76E934EC"/>
    <w:rsid w:val="76F63C80"/>
    <w:rsid w:val="77144843"/>
    <w:rsid w:val="771D3195"/>
    <w:rsid w:val="773329B9"/>
    <w:rsid w:val="77416E84"/>
    <w:rsid w:val="7758241F"/>
    <w:rsid w:val="77617526"/>
    <w:rsid w:val="7763290D"/>
    <w:rsid w:val="776B2153"/>
    <w:rsid w:val="779E42D6"/>
    <w:rsid w:val="77A85155"/>
    <w:rsid w:val="77AB254F"/>
    <w:rsid w:val="77BA4E88"/>
    <w:rsid w:val="77CE4490"/>
    <w:rsid w:val="77D01FB6"/>
    <w:rsid w:val="77E31CE9"/>
    <w:rsid w:val="77E912C9"/>
    <w:rsid w:val="77ED0DBA"/>
    <w:rsid w:val="77F04406"/>
    <w:rsid w:val="77F42148"/>
    <w:rsid w:val="77FC0D3A"/>
    <w:rsid w:val="780A196C"/>
    <w:rsid w:val="780D320A"/>
    <w:rsid w:val="780D4FB8"/>
    <w:rsid w:val="78120820"/>
    <w:rsid w:val="781E5417"/>
    <w:rsid w:val="78281DF2"/>
    <w:rsid w:val="78372035"/>
    <w:rsid w:val="784529A4"/>
    <w:rsid w:val="78462278"/>
    <w:rsid w:val="785E75C1"/>
    <w:rsid w:val="786028D0"/>
    <w:rsid w:val="78774B27"/>
    <w:rsid w:val="78852DA0"/>
    <w:rsid w:val="7892260E"/>
    <w:rsid w:val="789B25C4"/>
    <w:rsid w:val="78A84CE1"/>
    <w:rsid w:val="78B2790D"/>
    <w:rsid w:val="78C0027C"/>
    <w:rsid w:val="78C36EA4"/>
    <w:rsid w:val="78C733B9"/>
    <w:rsid w:val="78C935D5"/>
    <w:rsid w:val="78CF4963"/>
    <w:rsid w:val="78D37FAF"/>
    <w:rsid w:val="78E73A5B"/>
    <w:rsid w:val="78F85C68"/>
    <w:rsid w:val="78FB12B4"/>
    <w:rsid w:val="792627D5"/>
    <w:rsid w:val="7931546D"/>
    <w:rsid w:val="793D367B"/>
    <w:rsid w:val="795804B5"/>
    <w:rsid w:val="796230E1"/>
    <w:rsid w:val="79627585"/>
    <w:rsid w:val="798033B3"/>
    <w:rsid w:val="79865022"/>
    <w:rsid w:val="79894B12"/>
    <w:rsid w:val="79AB6836"/>
    <w:rsid w:val="79AE2BE7"/>
    <w:rsid w:val="79B06543"/>
    <w:rsid w:val="79BC0A44"/>
    <w:rsid w:val="79C318FE"/>
    <w:rsid w:val="79C618C2"/>
    <w:rsid w:val="79DC7338"/>
    <w:rsid w:val="79E104AA"/>
    <w:rsid w:val="79E87A8A"/>
    <w:rsid w:val="79F91C98"/>
    <w:rsid w:val="7A010B4C"/>
    <w:rsid w:val="7A083C89"/>
    <w:rsid w:val="7A0917AF"/>
    <w:rsid w:val="7A1C0640"/>
    <w:rsid w:val="7A3251AA"/>
    <w:rsid w:val="7A3A5E0C"/>
    <w:rsid w:val="7A4078C7"/>
    <w:rsid w:val="7A49604F"/>
    <w:rsid w:val="7A664E53"/>
    <w:rsid w:val="7A666C01"/>
    <w:rsid w:val="7A8C2B0C"/>
    <w:rsid w:val="7AB7745D"/>
    <w:rsid w:val="7AE30252"/>
    <w:rsid w:val="7AE446F6"/>
    <w:rsid w:val="7AF52483"/>
    <w:rsid w:val="7B09415C"/>
    <w:rsid w:val="7B1623D5"/>
    <w:rsid w:val="7B292109"/>
    <w:rsid w:val="7B297438"/>
    <w:rsid w:val="7B2C1BF9"/>
    <w:rsid w:val="7B364826"/>
    <w:rsid w:val="7B38059E"/>
    <w:rsid w:val="7B3A2568"/>
    <w:rsid w:val="7B3B008E"/>
    <w:rsid w:val="7B452CBB"/>
    <w:rsid w:val="7B4B6523"/>
    <w:rsid w:val="7B5A6766"/>
    <w:rsid w:val="7B5B0730"/>
    <w:rsid w:val="7B6C067B"/>
    <w:rsid w:val="7B6E0463"/>
    <w:rsid w:val="7B8657AD"/>
    <w:rsid w:val="7B8F3F36"/>
    <w:rsid w:val="7BA0756B"/>
    <w:rsid w:val="7BAC2D3A"/>
    <w:rsid w:val="7BB340C8"/>
    <w:rsid w:val="7BC63DFB"/>
    <w:rsid w:val="7BDA3403"/>
    <w:rsid w:val="7BDC53CD"/>
    <w:rsid w:val="7BDE7397"/>
    <w:rsid w:val="7BED2615"/>
    <w:rsid w:val="7BEE5100"/>
    <w:rsid w:val="7BF2699E"/>
    <w:rsid w:val="7BFF10BB"/>
    <w:rsid w:val="7C0D37D8"/>
    <w:rsid w:val="7C1728A9"/>
    <w:rsid w:val="7C183F2B"/>
    <w:rsid w:val="7C2823C0"/>
    <w:rsid w:val="7C29438A"/>
    <w:rsid w:val="7C30396B"/>
    <w:rsid w:val="7C352D2F"/>
    <w:rsid w:val="7C490589"/>
    <w:rsid w:val="7C5A2F65"/>
    <w:rsid w:val="7C5E5DE2"/>
    <w:rsid w:val="7C686C61"/>
    <w:rsid w:val="7C7A2ACC"/>
    <w:rsid w:val="7C8810B1"/>
    <w:rsid w:val="7C947A56"/>
    <w:rsid w:val="7C9932BE"/>
    <w:rsid w:val="7CD24A22"/>
    <w:rsid w:val="7CD460A4"/>
    <w:rsid w:val="7CE34539"/>
    <w:rsid w:val="7CE704CD"/>
    <w:rsid w:val="7D006E99"/>
    <w:rsid w:val="7D1F72BF"/>
    <w:rsid w:val="7D2C004B"/>
    <w:rsid w:val="7D537911"/>
    <w:rsid w:val="7D5947FB"/>
    <w:rsid w:val="7D6438CC"/>
    <w:rsid w:val="7D6531A0"/>
    <w:rsid w:val="7D6A6A08"/>
    <w:rsid w:val="7D6E64F9"/>
    <w:rsid w:val="7D741635"/>
    <w:rsid w:val="7D7D498E"/>
    <w:rsid w:val="7D951CD7"/>
    <w:rsid w:val="7D99109C"/>
    <w:rsid w:val="7DA22646"/>
    <w:rsid w:val="7DA43CC8"/>
    <w:rsid w:val="7DA95783"/>
    <w:rsid w:val="7DDD367E"/>
    <w:rsid w:val="7E1075B0"/>
    <w:rsid w:val="7E235535"/>
    <w:rsid w:val="7E24305B"/>
    <w:rsid w:val="7E417769"/>
    <w:rsid w:val="7E48038A"/>
    <w:rsid w:val="7E5A6A7D"/>
    <w:rsid w:val="7E7C69F3"/>
    <w:rsid w:val="7E835FD4"/>
    <w:rsid w:val="7EBB599A"/>
    <w:rsid w:val="7EC30AC6"/>
    <w:rsid w:val="7EC564AB"/>
    <w:rsid w:val="7EC860DC"/>
    <w:rsid w:val="7ECA59B1"/>
    <w:rsid w:val="7ECD54A1"/>
    <w:rsid w:val="7EE36A72"/>
    <w:rsid w:val="7EF649F8"/>
    <w:rsid w:val="7F080287"/>
    <w:rsid w:val="7F2F289D"/>
    <w:rsid w:val="7F361298"/>
    <w:rsid w:val="7F413799"/>
    <w:rsid w:val="7F4C021D"/>
    <w:rsid w:val="7F572FBC"/>
    <w:rsid w:val="7F5B2AAD"/>
    <w:rsid w:val="7F713678"/>
    <w:rsid w:val="7F736048"/>
    <w:rsid w:val="7F7B314F"/>
    <w:rsid w:val="7F802513"/>
    <w:rsid w:val="7FA73F44"/>
    <w:rsid w:val="7FAA7590"/>
    <w:rsid w:val="7FB81CAD"/>
    <w:rsid w:val="7FB87EFF"/>
    <w:rsid w:val="7FBD5515"/>
    <w:rsid w:val="7FCC7507"/>
    <w:rsid w:val="7FD129C1"/>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 w:val="44"/>
      <w:szCs w:val="20"/>
    </w:rPr>
  </w:style>
  <w:style w:type="paragraph" w:styleId="6">
    <w:name w:val="toc 7"/>
    <w:basedOn w:val="1"/>
    <w:next w:val="1"/>
    <w:qFormat/>
    <w:uiPriority w:val="0"/>
    <w:pPr>
      <w:ind w:left="1260"/>
      <w:jc w:val="left"/>
    </w:pPr>
    <w:rPr>
      <w:rFonts w:ascii="等线" w:eastAsia="等线"/>
      <w:sz w:val="18"/>
      <w:szCs w:val="18"/>
    </w:rPr>
  </w:style>
  <w:style w:type="paragraph" w:styleId="7">
    <w:name w:val="Normal Indent"/>
    <w:basedOn w:val="1"/>
    <w:next w:val="1"/>
    <w:qFormat/>
    <w:uiPriority w:val="0"/>
    <w:pPr>
      <w:adjustRightInd w:val="0"/>
      <w:spacing w:line="360" w:lineRule="atLeast"/>
      <w:ind w:firstLine="482"/>
    </w:pPr>
    <w:rPr>
      <w:sz w:val="24"/>
    </w:rPr>
  </w:style>
  <w:style w:type="paragraph" w:styleId="8">
    <w:name w:val="annotation text"/>
    <w:basedOn w:val="1"/>
    <w:unhideWhenUsed/>
    <w:qFormat/>
    <w:uiPriority w:val="0"/>
    <w:pPr>
      <w:jc w:val="left"/>
    </w:pPr>
  </w:style>
  <w:style w:type="paragraph" w:styleId="9">
    <w:name w:val="Body Text Indent"/>
    <w:basedOn w:val="1"/>
    <w:next w:val="10"/>
    <w:qFormat/>
    <w:uiPriority w:val="0"/>
    <w:pPr>
      <w:spacing w:line="500" w:lineRule="exact"/>
      <w:ind w:firstLine="538"/>
    </w:pPr>
    <w:rPr>
      <w:sz w:val="28"/>
    </w:rPr>
  </w:style>
  <w:style w:type="paragraph" w:styleId="10">
    <w:name w:val="envelope return"/>
    <w:basedOn w:val="1"/>
    <w:next w:val="6"/>
    <w:qFormat/>
    <w:uiPriority w:val="0"/>
    <w:pPr>
      <w:snapToGrid w:val="0"/>
    </w:pPr>
    <w:rPr>
      <w:rFonts w:ascii="Arial" w:hAnsi="Arial"/>
    </w:rPr>
  </w:style>
  <w:style w:type="paragraph" w:styleId="1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2">
    <w:name w:val="Plain Text"/>
    <w:basedOn w:val="1"/>
    <w:qFormat/>
    <w:uiPriority w:val="0"/>
    <w:rPr>
      <w:rFonts w:ascii="宋体"/>
      <w:color w:val="000000"/>
      <w:szCs w:val="20"/>
      <w:u w:color="000000"/>
    </w:rPr>
  </w:style>
  <w:style w:type="paragraph" w:styleId="13">
    <w:name w:val="Date"/>
    <w:basedOn w:val="1"/>
    <w:next w:val="1"/>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Normal (Web)"/>
    <w:basedOn w:val="1"/>
    <w:next w:val="19"/>
    <w:qFormat/>
    <w:uiPriority w:val="0"/>
    <w:pPr>
      <w:widowControl/>
      <w:jc w:val="left"/>
    </w:pPr>
    <w:rPr>
      <w:rFonts w:ascii="宋体" w:hAnsi="宋体" w:cs="宋体"/>
      <w:kern w:val="0"/>
      <w:sz w:val="18"/>
      <w:szCs w:val="18"/>
    </w:rPr>
  </w:style>
  <w:style w:type="paragraph" w:customStyle="1" w:styleId="19">
    <w:name w:val="正文文字 8"/>
    <w:basedOn w:val="1"/>
    <w:next w:val="1"/>
    <w:qFormat/>
    <w:uiPriority w:val="0"/>
    <w:pPr>
      <w:ind w:left="240"/>
    </w:pPr>
    <w:rPr>
      <w:sz w:val="16"/>
    </w:rPr>
  </w:style>
  <w:style w:type="paragraph" w:styleId="20">
    <w:name w:val="Body Text First Indent"/>
    <w:basedOn w:val="2"/>
    <w:qFormat/>
    <w:uiPriority w:val="0"/>
    <w:pPr>
      <w:ind w:firstLine="420" w:firstLineChars="100"/>
    </w:pPr>
  </w:style>
  <w:style w:type="paragraph" w:styleId="21">
    <w:name w:val="Body Text First Indent 2"/>
    <w:basedOn w:val="9"/>
    <w:next w:val="1"/>
    <w:qFormat/>
    <w:uiPriority w:val="0"/>
    <w:pPr>
      <w:spacing w:line="360" w:lineRule="auto"/>
      <w:ind w:firstLine="200" w:firstLineChars="200"/>
    </w:pPr>
    <w:rPr>
      <w:rFonts w:ascii="宋体"/>
      <w:szCs w:val="20"/>
    </w:rPr>
  </w:style>
  <w:style w:type="character" w:styleId="24">
    <w:name w:val="page number"/>
    <w:qFormat/>
    <w:uiPriority w:val="0"/>
  </w:style>
  <w:style w:type="character" w:styleId="25">
    <w:name w:val="Hyperlink"/>
    <w:qFormat/>
    <w:uiPriority w:val="0"/>
    <w:rPr>
      <w:color w:val="333333"/>
      <w:u w:val="none"/>
    </w:rPr>
  </w:style>
  <w:style w:type="paragraph" w:customStyle="1" w:styleId="26">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27">
    <w:name w:val="NormalCharacter"/>
    <w:semiHidden/>
    <w:qFormat/>
    <w:uiPriority w:val="0"/>
  </w:style>
  <w:style w:type="paragraph" w:customStyle="1" w:styleId="28">
    <w:name w:val="列出段落11"/>
    <w:basedOn w:val="1"/>
    <w:qFormat/>
    <w:uiPriority w:val="34"/>
    <w:pPr>
      <w:ind w:firstLine="420" w:firstLineChars="200"/>
    </w:pPr>
    <w:rPr>
      <w:szCs w:val="20"/>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出段落1"/>
    <w:basedOn w:val="1"/>
    <w:qFormat/>
    <w:uiPriority w:val="99"/>
    <w:pPr>
      <w:ind w:firstLine="420" w:firstLineChars="200"/>
    </w:pPr>
    <w:rPr>
      <w:rFonts w:ascii="Calibri" w:hAnsi="Calibri"/>
    </w:rPr>
  </w:style>
  <w:style w:type="paragraph" w:customStyle="1" w:styleId="31">
    <w:name w:val="*正文"/>
    <w:basedOn w:val="1"/>
    <w:qFormat/>
    <w:uiPriority w:val="0"/>
    <w:pPr>
      <w:widowControl/>
      <w:snapToGrid w:val="0"/>
      <w:ind w:firstLine="560"/>
      <w:jc w:val="left"/>
    </w:pPr>
    <w:rPr>
      <w:rFonts w:ascii="仿宋_GB2312"/>
      <w:color w:val="191919"/>
      <w:sz w:val="28"/>
      <w:szCs w:val="28"/>
    </w:rPr>
  </w:style>
  <w:style w:type="paragraph" w:customStyle="1" w:styleId="32">
    <w:name w:val="列出段落2"/>
    <w:basedOn w:val="1"/>
    <w:qFormat/>
    <w:uiPriority w:val="34"/>
    <w:pPr>
      <w:ind w:firstLine="420" w:firstLineChars="200"/>
    </w:pPr>
  </w:style>
  <w:style w:type="paragraph" w:customStyle="1" w:styleId="33">
    <w:name w:val="Body Text First Indent 21"/>
    <w:basedOn w:val="34"/>
    <w:qFormat/>
    <w:uiPriority w:val="0"/>
    <w:pPr>
      <w:ind w:firstLine="420" w:firstLineChars="200"/>
    </w:pPr>
  </w:style>
  <w:style w:type="paragraph" w:customStyle="1" w:styleId="34">
    <w:name w:val="Body Text Indent1"/>
    <w:basedOn w:val="1"/>
    <w:next w:val="1"/>
    <w:qFormat/>
    <w:uiPriority w:val="0"/>
    <w:pPr>
      <w:ind w:firstLine="630"/>
    </w:pPr>
  </w:style>
  <w:style w:type="paragraph" w:customStyle="1" w:styleId="35">
    <w:name w:val="xl25"/>
    <w:basedOn w:val="1"/>
    <w:qFormat/>
    <w:uiPriority w:val="0"/>
    <w:pPr>
      <w:widowControl/>
      <w:spacing w:before="100" w:beforeAutospacing="1" w:after="100" w:afterAutospacing="1"/>
      <w:jc w:val="right"/>
    </w:pPr>
    <w:rPr>
      <w:rFonts w:ascii="Arial Unicode MS" w:hAnsi="Arial Unicode MS" w:cs="Arial Unicode MS"/>
      <w:color w:val="000000"/>
      <w:kern w:val="0"/>
      <w:sz w:val="18"/>
      <w:szCs w:val="18"/>
    </w:rPr>
  </w:style>
  <w:style w:type="character" w:customStyle="1" w:styleId="36">
    <w:name w:val="font61"/>
    <w:qFormat/>
    <w:uiPriority w:val="0"/>
    <w:rPr>
      <w:rFonts w:hint="eastAsia" w:ascii="宋体" w:hAnsi="宋体" w:eastAsia="宋体" w:cs="宋体"/>
      <w:color w:val="000000"/>
      <w:sz w:val="20"/>
      <w:szCs w:val="20"/>
      <w:u w:val="none"/>
    </w:rPr>
  </w:style>
  <w:style w:type="character" w:customStyle="1" w:styleId="37">
    <w:name w:val="font71"/>
    <w:qFormat/>
    <w:uiPriority w:val="0"/>
    <w:rPr>
      <w:rFonts w:hint="eastAsia" w:ascii="宋体" w:hAnsi="宋体" w:eastAsia="宋体" w:cs="宋体"/>
      <w:color w:val="000000"/>
      <w:sz w:val="20"/>
      <w:szCs w:val="20"/>
      <w:u w:val="none"/>
    </w:rPr>
  </w:style>
  <w:style w:type="paragraph" w:customStyle="1" w:styleId="38">
    <w:name w:val="text-tag1"/>
    <w:basedOn w:val="1"/>
    <w:qFormat/>
    <w:uiPriority w:val="0"/>
    <w:pPr>
      <w:widowControl/>
      <w:spacing w:before="100" w:beforeAutospacing="1" w:after="100" w:afterAutospacing="1"/>
      <w:jc w:val="left"/>
    </w:pPr>
    <w:rPr>
      <w:rFonts w:ascii="宋体" w:hAnsi="宋体" w:cs="宋体"/>
      <w:kern w:val="0"/>
      <w:sz w:val="24"/>
    </w:rPr>
  </w:style>
  <w:style w:type="paragraph" w:styleId="39">
    <w:name w:val="List Paragraph"/>
    <w:basedOn w:val="1"/>
    <w:link w:val="40"/>
    <w:qFormat/>
    <w:uiPriority w:val="99"/>
    <w:pPr>
      <w:spacing w:line="360" w:lineRule="auto"/>
      <w:ind w:firstLine="420" w:firstLineChars="200"/>
      <w:jc w:val="left"/>
    </w:pPr>
    <w:rPr>
      <w:rFonts w:eastAsia="华文仿宋"/>
      <w:sz w:val="28"/>
    </w:rPr>
  </w:style>
  <w:style w:type="character" w:customStyle="1" w:styleId="40">
    <w:name w:val="列表段落 字符"/>
    <w:link w:val="39"/>
    <w:qFormat/>
    <w:uiPriority w:val="99"/>
    <w:rPr>
      <w:rFonts w:eastAsia="华文仿宋"/>
      <w:kern w:val="2"/>
      <w:sz w:val="28"/>
      <w:szCs w:val="24"/>
    </w:rPr>
  </w:style>
  <w:style w:type="paragraph" w:customStyle="1" w:styleId="41">
    <w:name w:val="表格文字"/>
    <w:basedOn w:val="1"/>
    <w:next w:val="2"/>
    <w:qFormat/>
    <w:uiPriority w:val="0"/>
    <w:pPr>
      <w:ind w:firstLine="200" w:firstLineChars="200"/>
    </w:pPr>
    <w:rPr>
      <w:rFonts w:ascii="Arial" w:hAnsi="Arial"/>
      <w:spacing w:val="-5"/>
      <w:kern w:val="0"/>
      <w:sz w:val="24"/>
      <w:szCs w:val="20"/>
    </w:rPr>
  </w:style>
  <w:style w:type="character" w:customStyle="1" w:styleId="42">
    <w:name w:val="font01"/>
    <w:basedOn w:val="23"/>
    <w:qFormat/>
    <w:uiPriority w:val="0"/>
    <w:rPr>
      <w:rFonts w:hint="eastAsia" w:ascii="宋体" w:hAnsi="宋体" w:eastAsia="宋体" w:cs="宋体"/>
      <w:color w:val="000000"/>
      <w:sz w:val="24"/>
      <w:szCs w:val="24"/>
      <w:u w:val="none"/>
    </w:rPr>
  </w:style>
  <w:style w:type="paragraph" w:customStyle="1" w:styleId="43">
    <w:name w:val="正文文本1"/>
    <w:basedOn w:val="1"/>
    <w:semiHidden/>
    <w:qFormat/>
    <w:uiPriority w:val="0"/>
    <w:pPr>
      <w:spacing w:beforeAutospacing="0" w:after="120" w:afterAutospacing="0"/>
    </w:pPr>
  </w:style>
  <w:style w:type="paragraph" w:customStyle="1" w:styleId="44">
    <w:name w:val="Table Paragraph"/>
    <w:basedOn w:val="1"/>
    <w:qFormat/>
    <w:uiPriority w:val="1"/>
  </w:style>
  <w:style w:type="paragraph" w:customStyle="1" w:styleId="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22668</Words>
  <Characters>24046</Characters>
  <Lines>246</Lines>
  <Paragraphs>69</Paragraphs>
  <TotalTime>149</TotalTime>
  <ScaleCrop>false</ScaleCrop>
  <LinksUpToDate>false</LinksUpToDate>
  <CharactersWithSpaces>26964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2024-05-23T07:58:00Z</dcterms:created>
  <dc:creator>Administrator</dc:creator>
  <cp:lastModifiedBy>相知相惜</cp:lastModifiedBy>
  <cp:lastPrinted>2024-06-12T01:40:00Z</cp:lastPrinted>
  <dcterms:modified xsi:type="dcterms:W3CDTF">2024-09-20T08:10:50Z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3B41C476EB9D4613AD4C7765C096CD4D_13</vt:lpwstr>
  </property>
</Properties>
</file>